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b/>
          <w:sz w:val="22"/>
          <w:szCs w:val="22"/>
        </w:rPr>
      </w:pPr>
      <w:r>
        <w:rPr>
          <w:b/>
          <w:sz w:val="22"/>
          <w:szCs w:val="22"/>
        </w:rPr>
        <w:t>ДОГОВОР №1</w:t>
      </w:r>
    </w:p>
    <w:p>
      <w:pPr>
        <w:spacing/>
        <w:jc w:val="center"/>
        <w:rPr>
          <w:b/>
          <w:sz w:val="22"/>
          <w:szCs w:val="22"/>
        </w:rPr>
      </w:pPr>
      <w:r>
        <w:rPr>
          <w:b/>
          <w:sz w:val="22"/>
          <w:szCs w:val="22"/>
        </w:rPr>
        <w:t xml:space="preserve">купли-продажи транспортного средства </w:t>
      </w:r>
    </w:p>
    <w:tbl>
      <w:tblPr>
        <w:tblStyle w:val="TableGrid"/>
        <w:name w:val="Таблица1"/>
        <w:tabOrder w:val="0"/>
        <w:jc w:val="left"/>
        <w:tblInd w:w="0" w:type="dxa"/>
        <w:tblW w:w="9571" w:type="dxa"/>
        <w:tblLook w:val="0600" w:firstRow="0" w:lastRow="0" w:firstColumn="0" w:lastColumn="0" w:noHBand="1" w:noVBand="1"/>
      </w:tblPr>
      <w:tblGrid>
        <w:gridCol w:w="4780"/>
        <w:gridCol w:w="4791"/>
      </w:tblGrid>
      <w:tr>
        <w:trPr>
          <w:tblHeader w:val="0"/>
          <w:cantSplit w:val="0"/>
          <w:trHeight w:val="0" w:hRule="atLeast"/>
        </w:trPr>
        <w:tc>
          <w:tcPr>
            <w:tcW w:w="4780" w:type="dxa"/>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69500964" protected="0"/>
          </w:tcPr>
          <w:p>
            <w:pPr>
              <w:rPr>
                <w:sz w:val="22"/>
                <w:szCs w:val="22"/>
              </w:rPr>
            </w:pPr>
            <w:r>
              <w:rPr>
                <w:sz w:val="22"/>
                <w:szCs w:val="22"/>
              </w:rPr>
              <w:t>г. Пермь</w:t>
            </w:r>
          </w:p>
        </w:tc>
        <w:tc>
          <w:tcPr>
            <w:tcW w:w="4791" w:type="dxa"/>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69500964" protected="0"/>
          </w:tcPr>
          <w:p>
            <w:pPr>
              <w:spacing/>
              <w:jc w:val="right"/>
              <w:rPr>
                <w:highlight w:val="yellow"/>
                <w:sz w:val="22"/>
                <w:szCs w:val="22"/>
              </w:rPr>
            </w:pPr>
            <w:r>
              <w:rPr>
                <w:sz w:val="22"/>
                <w:szCs w:val="22"/>
              </w:rPr>
              <w:t>_______________2026 г.</w:t>
            </w:r>
            <w:r>
              <w:rPr>
                <w:highlight w:val="yellow"/>
                <w:sz w:val="22"/>
                <w:szCs w:val="22"/>
              </w:rPr>
            </w:r>
          </w:p>
        </w:tc>
      </w:tr>
    </w:tbl>
    <w:p>
      <w:pPr>
        <w:ind w:firstLine="567"/>
        <w:spacing/>
        <w:jc w:val="both"/>
        <w:rPr>
          <w:b/>
          <w:sz w:val="22"/>
          <w:szCs w:val="22"/>
        </w:rPr>
      </w:pPr>
      <w:r>
        <w:rPr>
          <w:b/>
          <w:sz w:val="22"/>
          <w:szCs w:val="22"/>
        </w:rPr>
      </w:r>
    </w:p>
    <w:p>
      <w:pPr>
        <w:ind w:firstLine="567"/>
        <w:spacing/>
        <w:jc w:val="both"/>
        <w:rPr>
          <w:color w:val="auto"/>
          <w:sz w:val="20"/>
          <w:szCs w:val="20"/>
        </w:rPr>
      </w:pPr>
      <w:r/>
      <w:bookmarkStart w:id="0" w:name="_Hlk152450824"/>
      <w:bookmarkEnd w:id="0"/>
      <w:r/>
      <w:bookmarkStart w:id="1" w:name="_Hlk77348444"/>
      <w:bookmarkEnd w:id="1"/>
      <w:r/>
      <w:bookmarkStart w:id="2" w:name="_Hlk134722620"/>
      <w:bookmarkEnd w:id="2"/>
      <w:r/>
      <w:r>
        <w:rPr>
          <w:kern w:val="1"/>
          <w:sz w:val="20"/>
          <w:szCs w:val="20"/>
        </w:rPr>
        <w:t xml:space="preserve">Мавлютова Алия Ильдаровна, 23.01.1997 г.р., </w:t>
      </w:r>
      <w:r>
        <w:rPr>
          <w:kern w:val="1"/>
          <w:sz w:val="20"/>
          <w:szCs w:val="20"/>
        </w:rPr>
        <w:t xml:space="preserve">место рождения: с. Бичурино Бардымский район Пермская обл., паспорт  выдан:, дата выдачи:  года, код подразделения: , адрес регистрации: Пермский край, Бардымский район, с. Барда, являющейся бывшей супругой должника, брак с которым расторгнут на основании решения Мирового судьи судебного участка № 2 Бардымского судебного района Пермского края от 26.08.2024 года - Мавлютова Рамзита Шархумовича, 10.07.1994 г.р., место рождения: дер. Батырбай Бардымского района Пермской обл., адрес регистрации: Пермский край, Бардымский район, д. Батырбай, ул. Мира, д. 15, СНИЛС 135-304-738 36, ИНН 594488785589 (паспортные данные), в лице финансового управляющего Максеевой Алины Ринатовны, ИНН </w:t>
      </w:r>
      <w:r>
        <w:rPr>
          <w:bCs/>
          <w:kern w:val="1"/>
          <w:sz w:val="20"/>
          <w:szCs w:val="20"/>
        </w:rPr>
        <w:t>890604115564</w:t>
      </w:r>
      <w:r>
        <w:rPr>
          <w:kern w:val="1"/>
          <w:sz w:val="20"/>
          <w:szCs w:val="20"/>
        </w:rPr>
        <w:t>, адрес для направления корреспонденции: 614035, Пермский край, с. Фролы, ул. Центральная, д. 4, действующего на основании Решения Арбитражного суда Пермского края от</w:t>
      </w:r>
      <w:r>
        <w:rPr>
          <w:kern w:val="1"/>
          <w:sz w:val="20"/>
          <w:szCs w:val="20"/>
        </w:rPr>
        <w:t xml:space="preserve"> 30.10.2024 года  </w:t>
      </w:r>
      <w:r>
        <w:rPr>
          <w:kern w:val="1"/>
          <w:sz w:val="20"/>
          <w:szCs w:val="20"/>
        </w:rPr>
        <w:t xml:space="preserve">по делу № А50-21150/2024, </w:t>
      </w:r>
      <w:r>
        <w:rPr>
          <w:color w:val="auto"/>
          <w:sz w:val="20"/>
          <w:szCs w:val="20"/>
        </w:rPr>
        <w:t xml:space="preserve">именуемый в дальнейшем «Продавец», и </w:t>
      </w:r>
      <w:r>
        <w:rPr>
          <w:color w:val="auto"/>
          <w:sz w:val="20"/>
          <w:szCs w:val="20"/>
        </w:rPr>
      </w:r>
    </w:p>
    <w:p>
      <w:pPr>
        <w:ind w:firstLine="567"/>
        <w:spacing/>
        <w:jc w:val="both"/>
        <w:rPr>
          <w:kern w:val="1"/>
          <w:sz w:val="20"/>
          <w:szCs w:val="20"/>
        </w:rPr>
      </w:pPr>
      <w:r>
        <w:rPr>
          <w:color w:val="auto"/>
          <w:sz w:val="20"/>
          <w:szCs w:val="20"/>
        </w:rPr>
        <w:t>--------------- именуемый в дальнейшем «Покупатель», с другой стороны, совместно именуемые «Стороны», заключили настоящий договор о нижеследующем:</w:t>
      </w:r>
      <w:r>
        <w:rPr>
          <w:kern w:val="1"/>
          <w:sz w:val="20"/>
          <w:szCs w:val="20"/>
        </w:rPr>
      </w:r>
    </w:p>
    <w:p>
      <w:pPr>
        <w:pStyle w:val="para10"/>
        <w:numPr>
          <w:ilvl w:val="0"/>
          <w:numId w:val="2"/>
        </w:numPr>
        <w:ind w:left="927" w:right="5" w:hanging="360"/>
        <w:spacing/>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aps/>
          <w:color w:val="auto"/>
          <w:sz w:val="20"/>
          <w:szCs w:val="20"/>
        </w:rPr>
      </w:pPr>
      <w:r/>
      <w:bookmarkStart w:id="3" w:name="_Ref89149300"/>
      <w:bookmarkEnd w:id="3"/>
      <w:r/>
      <w:r>
        <w:rPr>
          <w:b/>
          <w:bCs/>
          <w:caps/>
          <w:color w:val="auto"/>
          <w:sz w:val="20"/>
          <w:szCs w:val="20"/>
        </w:rPr>
        <w:t>Предмет договора</w:t>
      </w:r>
      <w:r>
        <w:rPr>
          <w:b/>
          <w:bCs/>
          <w:caps/>
          <w:color w:val="auto"/>
          <w:sz w:val="20"/>
          <w:szCs w:val="20"/>
        </w:rPr>
      </w:r>
    </w:p>
    <w:p>
      <w:pPr>
        <w:pStyle w:val="para10"/>
        <w:numPr>
          <w:ilvl w:val="1"/>
          <w:numId w:val="1"/>
        </w:numPr>
        <w:ind w:left="0"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 xml:space="preserve">Продавец обязуется передать в собственность Покупателя, а Покупатель принять и оплатить следующее </w:t>
      </w:r>
      <w:r/>
      <w:bookmarkStart w:id="4" w:name="_Hlk152450855"/>
      <w:bookmarkEnd w:id="4"/>
      <w:r/>
      <w:r>
        <w:rPr>
          <w:color w:val="auto"/>
          <w:sz w:val="20"/>
          <w:szCs w:val="20"/>
        </w:rPr>
        <w:t>транспортное средство</w:t>
      </w:r>
      <w:r>
        <w:rPr>
          <w:color w:val="auto"/>
          <w:sz w:val="20"/>
          <w:szCs w:val="20"/>
        </w:rPr>
        <w:t>(прицеп)</w:t>
      </w:r>
      <w:r>
        <w:rPr>
          <w:color w:val="auto"/>
          <w:sz w:val="20"/>
          <w:szCs w:val="20"/>
        </w:rPr>
        <w:t>:</w:t>
      </w:r>
      <w:r>
        <w:rPr>
          <w:color w:val="auto"/>
          <w:sz w:val="20"/>
          <w:szCs w:val="20"/>
        </w:rPr>
      </w:r>
    </w:p>
    <w:p>
      <w:pPr>
        <w:pStyle w:val="para10"/>
        <w:ind w:left="567" w:right="5"/>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b/>
          <w:bCs/>
          <w:color w:val="auto"/>
          <w:sz w:val="22"/>
          <w:szCs w:val="22"/>
        </w:rPr>
      </w:pPr>
      <w:r>
        <w:rPr>
          <w:color w:val="auto"/>
          <w:sz w:val="20"/>
          <w:szCs w:val="20"/>
        </w:rPr>
        <w:t xml:space="preserve">Марка, модель: </w:t>
      </w:r>
      <w:r>
        <w:rPr>
          <w:rFonts w:eastAsia="Calibri"/>
          <w:b/>
          <w:bCs/>
          <w:color w:val="auto"/>
          <w:sz w:val="22"/>
          <w:szCs w:val="22"/>
        </w:rPr>
        <w:t>ВАЗ 21214, ЛАДА 4*4</w:t>
      </w:r>
    </w:p>
    <w:p>
      <w:pPr>
        <w:pStyle w:val="para10"/>
        <w:ind w:left="567" w:right="5"/>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Год выпуска: 20</w:t>
      </w:r>
      <w:r>
        <w:rPr>
          <w:color w:val="auto"/>
          <w:sz w:val="20"/>
          <w:szCs w:val="20"/>
          <w:lang w:val="en-us"/>
        </w:rPr>
        <w:t xml:space="preserve">07 </w:t>
      </w:r>
      <w:r>
        <w:rPr>
          <w:color w:val="auto"/>
          <w:sz w:val="20"/>
          <w:szCs w:val="20"/>
        </w:rPr>
        <w:t>г.в.</w:t>
      </w:r>
    </w:p>
    <w:p>
      <w:pPr>
        <w:pStyle w:val="para10"/>
        <w:ind w:left="567" w:right="5"/>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b/>
          <w:bCs/>
          <w:color w:val="auto"/>
          <w:sz w:val="22"/>
          <w:szCs w:val="22"/>
        </w:rPr>
      </w:pPr>
      <w:r>
        <w:rPr>
          <w:color w:val="auto"/>
          <w:sz w:val="20"/>
          <w:szCs w:val="20"/>
        </w:rPr>
        <w:t xml:space="preserve">Идентификационный номер (VIN) </w:t>
      </w:r>
      <w:r>
        <w:rPr>
          <w:rFonts w:eastAsia="Calibri"/>
          <w:b/>
          <w:bCs/>
          <w:color w:val="auto"/>
          <w:sz w:val="22"/>
          <w:szCs w:val="22"/>
        </w:rPr>
        <w:t>ХТА21214071865109</w:t>
      </w:r>
    </w:p>
    <w:p>
      <w:pPr>
        <w:pStyle w:val="para10"/>
        <w:ind w:left="567" w:right="5"/>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Гос.номер: Е747СЕ159</w:t>
      </w:r>
    </w:p>
    <w:p>
      <w:pPr>
        <w:ind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1.2.  Имущество принадлежит Продавцу на праве собственности.</w:t>
      </w:r>
    </w:p>
    <w:p>
      <w:pPr>
        <w:pStyle w:val="para10"/>
        <w:ind w:left="567" w:right="5"/>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1.3.Имущество, реализованное на Торгах, не находится в залоге у третьих лиц и не обременено.</w:t>
      </w:r>
    </w:p>
    <w:p>
      <w:pPr>
        <w:pStyle w:val="para10"/>
        <w:ind w:left="567" w:right="5"/>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r>
    </w:p>
    <w:p>
      <w:pPr>
        <w:pStyle w:val="para10"/>
        <w:numPr>
          <w:ilvl w:val="0"/>
          <w:numId w:val="2"/>
        </w:numPr>
        <w:ind w:left="927" w:right="5" w:hanging="360"/>
        <w:spacing/>
        <w:jc w:val="center"/>
        <w:widowControl w:val="0"/>
        <w:tabs defTabSz="709">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bookmarkStart w:id="5" w:name="_Ref89149404"/>
      <w:bookmarkEnd w:id="5"/>
      <w:r/>
      <w:r>
        <w:rPr>
          <w:b/>
          <w:bCs/>
          <w:color w:val="auto"/>
          <w:sz w:val="20"/>
          <w:szCs w:val="20"/>
        </w:rPr>
        <w:t>ЦЕНА И ПОРЯДОК РАСЧЕТОВ</w:t>
      </w:r>
      <w:r>
        <w:rPr>
          <w:b/>
          <w:bCs/>
          <w:color w:val="auto"/>
          <w:sz w:val="20"/>
          <w:szCs w:val="20"/>
        </w:rPr>
      </w:r>
    </w:p>
    <w:p>
      <w:pPr>
        <w:ind w:firstLine="567"/>
        <w:spacing/>
        <w:jc w:val="both"/>
        <w:rPr>
          <w:color w:val="auto"/>
          <w:sz w:val="20"/>
          <w:szCs w:val="20"/>
        </w:rPr>
      </w:pPr>
      <w:r>
        <w:rPr>
          <w:bCs/>
          <w:color w:val="auto"/>
          <w:sz w:val="20"/>
          <w:szCs w:val="20"/>
        </w:rPr>
        <w:t>2.1.</w:t>
      </w:r>
      <w:r>
        <w:rPr>
          <w:color w:val="auto"/>
          <w:sz w:val="20"/>
          <w:szCs w:val="20"/>
        </w:rPr>
        <w:t xml:space="preserve"> Цена Имущества, определенная в соответствии с результатами проведения торгов №________от ______ года составила  ________ руб. (_________) руб.,00  коп., без НДС.</w:t>
      </w:r>
    </w:p>
    <w:p>
      <w:pPr>
        <w:ind w:firstLine="567"/>
        <w:spacing/>
        <w:jc w:val="both"/>
        <w:rPr>
          <w:color w:val="auto"/>
          <w:sz w:val="20"/>
          <w:szCs w:val="20"/>
        </w:rPr>
      </w:pPr>
      <w:r>
        <w:rPr>
          <w:color w:val="auto"/>
          <w:sz w:val="20"/>
          <w:szCs w:val="20"/>
        </w:rPr>
        <w:t xml:space="preserve">2.2. Сумма внесенного Покупателем задатка в размере рублей _______ руб (_________) руб., 00 коп. </w:t>
      </w:r>
    </w:p>
    <w:p>
      <w:pPr>
        <w:ind w:firstLine="567"/>
        <w:spacing/>
        <w:jc w:val="both"/>
        <w:rPr>
          <w:color w:val="auto"/>
          <w:sz w:val="20"/>
          <w:szCs w:val="20"/>
        </w:rPr>
      </w:pPr>
      <w:r>
        <w:rPr>
          <w:color w:val="auto"/>
          <w:sz w:val="20"/>
          <w:szCs w:val="20"/>
        </w:rPr>
        <w:t xml:space="preserve">2.3. Оплата Имущества осуществляется за вычетом суммы задатка, указанной в п. 2.2 настоящего Договора, и составляет </w:t>
      </w:r>
      <w:r>
        <w:rPr>
          <w:sz w:val="20"/>
          <w:szCs w:val="20"/>
        </w:rPr>
        <w:t xml:space="preserve">________ </w:t>
      </w:r>
      <w:r>
        <w:rPr>
          <w:color w:val="auto"/>
          <w:sz w:val="20"/>
          <w:szCs w:val="20"/>
        </w:rPr>
        <w:t xml:space="preserve"> (_________) рублей 00 коп., НДС не облагается.</w:t>
      </w:r>
      <w:r>
        <w:rPr>
          <w:color w:val="auto"/>
          <w:sz w:val="20"/>
          <w:szCs w:val="20"/>
        </w:rPr>
      </w:r>
    </w:p>
    <w:p>
      <w:pPr>
        <w:ind w:firstLine="567"/>
        <w:spacing/>
        <w:jc w:val="both"/>
        <w:rPr>
          <w:color w:val="auto"/>
          <w:sz w:val="20"/>
          <w:szCs w:val="20"/>
        </w:rPr>
      </w:pPr>
      <w:r>
        <w:rPr>
          <w:color w:val="auto"/>
          <w:sz w:val="20"/>
          <w:szCs w:val="20"/>
        </w:rPr>
        <w:t>2.4. Расчеты по настоящему договору производятся путем перечисления денежных средств на расчетный счет Продавца, счет № 40817810950187170669 в ПАО СОВКОМБАНК БИК 045004763 к/с 30101810150040000763, КПП банка: 544543001, ИНН банка: 4401116480, получатель: Мавлютов Рамзит Шархумович.</w:t>
      </w:r>
    </w:p>
    <w:p>
      <w:pPr>
        <w:ind w:firstLine="567"/>
        <w:spacing/>
        <w:jc w:val="both"/>
        <w:rPr>
          <w:color w:val="auto"/>
          <w:sz w:val="20"/>
          <w:szCs w:val="20"/>
        </w:rPr>
      </w:pPr>
      <w:r>
        <w:rPr>
          <w:color w:val="auto"/>
          <w:sz w:val="20"/>
          <w:szCs w:val="20"/>
        </w:rPr>
        <w:t>2.5. Оплата суммы, указанной в п. 2.3. настоящего Договора, осуществляется в течение 30 дней с даты заключения настоящего Договора.</w:t>
      </w:r>
    </w:p>
    <w:p>
      <w:pPr>
        <w:ind w:firstLine="567"/>
        <w:spacing/>
        <w:jc w:val="both"/>
        <w:rPr>
          <w:color w:val="auto"/>
          <w:sz w:val="20"/>
          <w:szCs w:val="20"/>
        </w:rPr>
      </w:pPr>
      <w:r>
        <w:rPr>
          <w:color w:val="auto"/>
          <w:sz w:val="20"/>
          <w:szCs w:val="20"/>
        </w:rPr>
        <w:t>2.6. Факт оплаты удостоверяется выпиской со счета Покупателя, подтверждающей поступление денежных средств в счет оплаты Имущества.</w:t>
      </w:r>
    </w:p>
    <w:p>
      <w:pPr>
        <w:ind w:right="5"/>
        <w:widowControl w:val="0"/>
        <w:tabs defTabSz="709">
          <w:tab w:val="left" w:pos="0" w:leader="none"/>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ab/>
        <w:t>2.7. Надлежащим выполнением обязательств Покупателя по оплате Имущества является поступление денежных средств в порядке, сумме и сроки, предусмотренные настоящим Договором.</w:t>
      </w:r>
    </w:p>
    <w:p>
      <w:pPr>
        <w:ind w:right="5"/>
        <w:widowControl w:val="0"/>
        <w:tabs defTabSz="709">
          <w:tab w:val="left" w:pos="0" w:leader="none"/>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r>
    </w:p>
    <w:p>
      <w:pPr>
        <w:ind w:right="5"/>
        <w:spacing/>
        <w:jc w:val="center"/>
        <w:widowControl w:val="0"/>
        <w:tabs defTabSz="709">
          <w:tab w:val="left" w:pos="0" w:leader="none"/>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
          <w:bCs/>
          <w:color w:val="auto"/>
          <w:sz w:val="20"/>
          <w:szCs w:val="20"/>
        </w:rPr>
        <w:t>3. ПЕРЕДАЧА ИМУЩЕСТВА</w:t>
      </w:r>
    </w:p>
    <w:p>
      <w:pPr>
        <w:ind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auto"/>
          <w:sz w:val="20"/>
          <w:szCs w:val="20"/>
        </w:rPr>
      </w:pPr>
      <w:r>
        <w:rPr>
          <w:bCs/>
          <w:color w:val="auto"/>
          <w:sz w:val="20"/>
          <w:szCs w:val="20"/>
        </w:rPr>
        <w:t>3.1. Передача отчуждаемого Имущества Покупателю осуществляется Продавцом по Передаточному акту после его полной оплаты и поступления денежных средств на расчетный счет Продавца в течении 5-х (пяти) календарных дней.</w:t>
      </w:r>
    </w:p>
    <w:p>
      <w:pPr>
        <w:ind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auto"/>
          <w:sz w:val="20"/>
          <w:szCs w:val="20"/>
        </w:rPr>
      </w:pPr>
      <w:r>
        <w:rPr>
          <w:bCs/>
          <w:color w:val="auto"/>
          <w:sz w:val="20"/>
          <w:szCs w:val="20"/>
        </w:rPr>
        <w:t>3.2. Имущество считается переданным Покупателю с момента подписания Сторонами Передаточных актов.</w:t>
      </w:r>
    </w:p>
    <w:p>
      <w:pPr>
        <w:ind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Cs/>
          <w:color w:val="auto"/>
          <w:sz w:val="20"/>
          <w:szCs w:val="20"/>
        </w:rPr>
        <w:t>3.3 Расходы по государственной регистрации перехода права собственности Покупателя на Имущество, предусмотренные действующим законодательством Российской Федерации в полном объеме несет Покупатель. Данные расходы не включаются в цену Имущества и уплачиваются по мере необходимости и своевременно.</w:t>
      </w:r>
      <w:r>
        <w:rPr>
          <w:b/>
          <w:bCs/>
          <w:color w:val="auto"/>
          <w:sz w:val="20"/>
          <w:szCs w:val="20"/>
        </w:rPr>
      </w:r>
    </w:p>
    <w:p>
      <w:pPr>
        <w:ind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auto"/>
          <w:sz w:val="20"/>
          <w:szCs w:val="20"/>
        </w:rPr>
      </w:pPr>
      <w:r>
        <w:rPr>
          <w:bCs/>
          <w:color w:val="auto"/>
          <w:sz w:val="20"/>
          <w:szCs w:val="20"/>
        </w:rPr>
        <w:t>3.4.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pPr>
        <w:ind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auto"/>
          <w:sz w:val="20"/>
          <w:szCs w:val="20"/>
        </w:rPr>
      </w:pPr>
      <w:r>
        <w:rPr>
          <w:bCs/>
          <w:color w:val="auto"/>
          <w:sz w:val="20"/>
          <w:szCs w:val="20"/>
        </w:rPr>
      </w:r>
    </w:p>
    <w:p>
      <w:pPr>
        <w:ind w:right="5"/>
        <w:spacing/>
        <w:jc w:val="center"/>
        <w:widowControl w:val="0"/>
        <w:tabs defTabSz="709">
          <w:tab w:val="left" w:pos="0" w:leader="none"/>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
          <w:bCs/>
          <w:color w:val="auto"/>
          <w:sz w:val="20"/>
          <w:szCs w:val="20"/>
        </w:rPr>
        <w:t>4. ПРАВА И ОБЯЗАННОСТИ СТОРОН</w:t>
      </w:r>
    </w:p>
    <w:p>
      <w:pPr>
        <w:ind w:right="5" w:firstLine="567"/>
        <w:spacing/>
        <w:jc w:val="both"/>
        <w:widowControl w:val="0"/>
        <w:tabs defTabSz="709">
          <w:tab w:val="left" w:pos="851"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
          <w:bCs/>
          <w:color w:val="auto"/>
          <w:sz w:val="20"/>
          <w:szCs w:val="20"/>
        </w:rPr>
        <w:t xml:space="preserve">4.1. </w:t>
      </w:r>
      <w:r/>
      <w:bookmarkStart w:id="6" w:name="_Ref89149381"/>
      <w:bookmarkEnd w:id="6"/>
      <w:r/>
      <w:r>
        <w:rPr>
          <w:b/>
          <w:color w:val="auto"/>
          <w:sz w:val="20"/>
          <w:szCs w:val="20"/>
        </w:rPr>
        <w:t>Продавец обязуется:</w:t>
      </w:r>
      <w:r>
        <w:rPr>
          <w:b/>
          <w:bCs/>
          <w:color w:val="auto"/>
          <w:sz w:val="20"/>
          <w:szCs w:val="20"/>
        </w:rPr>
      </w:r>
    </w:p>
    <w:p>
      <w:pPr>
        <w:ind w:right="5" w:firstLine="567"/>
        <w:spacing/>
        <w:jc w:val="both"/>
        <w:widowControl w:val="0"/>
        <w:tabs defTabSz="709">
          <w:tab w:val="left" w:pos="851"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color w:val="auto"/>
          <w:sz w:val="20"/>
          <w:szCs w:val="20"/>
        </w:rPr>
        <w:t>4.1.1. Передать Покупателю Имущество в порядке, предусмотренном п. 3.1. настоящего договора.</w:t>
      </w:r>
      <w:r>
        <w:rPr>
          <w:b/>
          <w:bCs/>
          <w:color w:val="auto"/>
          <w:sz w:val="20"/>
          <w:szCs w:val="20"/>
        </w:rPr>
      </w:r>
    </w:p>
    <w:p>
      <w:pPr>
        <w:ind w:right="5" w:firstLine="567"/>
        <w:spacing/>
        <w:jc w:val="both"/>
        <w:widowControl w:val="0"/>
        <w:tabs defTabSz="709">
          <w:tab w:val="left" w:pos="851"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color w:val="auto"/>
          <w:sz w:val="20"/>
          <w:szCs w:val="20"/>
        </w:rPr>
        <w:t xml:space="preserve">4.1.2. Своевременно и совместно с Покупателем выполнить все необходимые действия и формальности, связанные с проведением государственной </w:t>
      </w:r>
      <w:r>
        <w:rPr>
          <w:bCs/>
          <w:color w:val="auto"/>
          <w:sz w:val="20"/>
          <w:szCs w:val="20"/>
        </w:rPr>
        <w:t>регистрации перехода права собственности объекта реализованного имущества, при законодательной необходимости.</w:t>
      </w:r>
      <w:r>
        <w:rPr>
          <w:b/>
          <w:bCs/>
          <w:color w:val="auto"/>
          <w:sz w:val="20"/>
          <w:szCs w:val="20"/>
        </w:rPr>
      </w:r>
    </w:p>
    <w:p>
      <w:pPr>
        <w:ind w:right="5" w:firstLine="567"/>
        <w:spacing/>
        <w:jc w:val="both"/>
        <w:widowControl w:val="0"/>
        <w:tabs defTabSz="709">
          <w:tab w:val="left" w:pos="851"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4.1.3. Одновременно с передачей Имущества передать Покупателю все относящиеся к нему документы.</w:t>
      </w:r>
    </w:p>
    <w:p>
      <w:pPr>
        <w:pStyle w:val="para10"/>
        <w:ind w:left="566" w:right="5"/>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4.1.4.Снять ограничения на регистрационные действия ГИБДД</w:t>
      </w:r>
    </w:p>
    <w:p>
      <w:pPr>
        <w:ind w:right="5" w:firstLine="567"/>
        <w:spacing/>
        <w:jc w:val="both"/>
        <w:widowControl w:val="0"/>
        <w:tabs defTabSz="709">
          <w:tab w:val="left" w:pos="851"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r>
    </w:p>
    <w:p>
      <w:pPr>
        <w:ind w:right="5" w:firstLine="567"/>
        <w:spacing/>
        <w:jc w:val="both"/>
        <w:tabs defTabSz="709">
          <w:tab w:val="left" w:pos="851" w:leader="none"/>
          <w:tab w:val="left" w:pos="1171"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auto"/>
          <w:sz w:val="20"/>
          <w:szCs w:val="20"/>
        </w:rPr>
      </w:pPr>
      <w:r>
        <w:rPr>
          <w:b/>
          <w:color w:val="auto"/>
          <w:sz w:val="20"/>
          <w:szCs w:val="20"/>
        </w:rPr>
        <w:t>4.2. Покупатель обязуется:</w:t>
      </w:r>
    </w:p>
    <w:p>
      <w:pPr>
        <w:ind w:right="5" w:firstLine="567"/>
        <w:spacing/>
        <w:jc w:val="both"/>
        <w:tabs defTabSz="709">
          <w:tab w:val="left" w:pos="0" w:leader="none"/>
          <w:tab w:val="left" w:pos="851"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4.2.1. Принять Имущество на условиях, предусмотренных настоящим договором.</w:t>
      </w:r>
    </w:p>
    <w:p>
      <w:pPr>
        <w:ind w:right="5" w:firstLine="567"/>
        <w:spacing/>
        <w:jc w:val="both"/>
        <w:tabs defTabSz="709">
          <w:tab w:val="left" w:pos="0" w:leader="none"/>
          <w:tab w:val="left" w:pos="851"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auto"/>
          <w:sz w:val="20"/>
          <w:szCs w:val="20"/>
        </w:rPr>
      </w:pPr>
      <w:r>
        <w:rPr>
          <w:color w:val="auto"/>
          <w:sz w:val="20"/>
          <w:szCs w:val="20"/>
        </w:rPr>
        <w:t>4.2.2. Оплатить приобретаемое Имущество в порядке, предусмотренном разделом 2 настоящего договора.</w:t>
      </w:r>
    </w:p>
    <w:p>
      <w:pPr>
        <w:ind w:right="5"/>
        <w:spacing/>
        <w:jc w:val="center"/>
        <w:widowControl w:val="0"/>
        <w:tabs defTabSz="709">
          <w:tab w:val="left" w:pos="0" w:leader="none"/>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
          <w:bCs/>
          <w:color w:val="auto"/>
          <w:sz w:val="20"/>
          <w:szCs w:val="20"/>
        </w:rPr>
        <w:t>5. ОТВЕТСТВЕННОСТЬ СТОРОН</w:t>
      </w:r>
    </w:p>
    <w:p>
      <w:pPr>
        <w:pStyle w:val="para10"/>
        <w:ind w:left="0" w:firstLine="567"/>
        <w:spacing/>
        <w:jc w:val="both"/>
        <w:rPr>
          <w:color w:val="auto"/>
          <w:sz w:val="20"/>
          <w:szCs w:val="20"/>
        </w:rPr>
      </w:pPr>
      <w:r>
        <w:rPr>
          <w:bCs/>
          <w:color w:val="auto"/>
          <w:sz w:val="20"/>
          <w:szCs w:val="20"/>
        </w:rPr>
        <w:t xml:space="preserve">5.1. </w:t>
      </w:r>
      <w:r>
        <w:rPr>
          <w:color w:val="auto"/>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pPr>
        <w:pStyle w:val="para10"/>
        <w:ind w:left="0" w:firstLine="567"/>
        <w:spacing/>
        <w:jc w:val="both"/>
        <w:rPr>
          <w:color w:val="auto"/>
          <w:sz w:val="20"/>
          <w:szCs w:val="20"/>
        </w:rPr>
      </w:pPr>
      <w:r>
        <w:rPr>
          <w:color w:val="auto"/>
          <w:sz w:val="20"/>
          <w:szCs w:val="20"/>
        </w:rPr>
        <w:t>5.2. В случае неисполнения Покупателем пункта 2.3, настоящего договора, договор считается расторгнутым, задаток не возвращается.</w:t>
      </w:r>
    </w:p>
    <w:p>
      <w:pPr>
        <w:pStyle w:val="para10"/>
        <w:ind w:left="0" w:firstLine="567"/>
        <w:spacing/>
        <w:jc w:val="both"/>
        <w:rPr>
          <w:bCs/>
          <w:color w:val="auto"/>
          <w:sz w:val="20"/>
          <w:szCs w:val="20"/>
        </w:rPr>
      </w:pPr>
      <w:r>
        <w:rPr>
          <w:color w:val="auto"/>
          <w:sz w:val="20"/>
          <w:szCs w:val="20"/>
        </w:rP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r>
        <w:rPr>
          <w:bCs/>
          <w:color w:val="auto"/>
          <w:sz w:val="20"/>
          <w:szCs w:val="20"/>
        </w:rPr>
      </w:r>
    </w:p>
    <w:p>
      <w:pPr>
        <w:ind w:right="5" w:firstLine="567"/>
        <w:spacing/>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
          <w:bCs/>
          <w:color w:val="auto"/>
          <w:sz w:val="20"/>
          <w:szCs w:val="20"/>
        </w:rPr>
        <w:t>6. СРОК ДЕЙСТВИЯ НАСТОЯЩЕГО ДОГОВОРА</w:t>
      </w:r>
    </w:p>
    <w:p>
      <w:pPr>
        <w:ind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Cs/>
          <w:color w:val="auto"/>
          <w:sz w:val="20"/>
          <w:szCs w:val="20"/>
        </w:rPr>
        <w:t xml:space="preserve">6.1. </w:t>
      </w:r>
      <w:r>
        <w:rPr>
          <w:color w:val="auto"/>
          <w:sz w:val="20"/>
          <w:szCs w:val="20"/>
        </w:rPr>
        <w:t>Настоящий договор считается заключенным с момента его подписания.</w:t>
      </w:r>
      <w:r>
        <w:rPr>
          <w:b/>
          <w:bCs/>
          <w:color w:val="auto"/>
          <w:sz w:val="20"/>
          <w:szCs w:val="20"/>
        </w:rPr>
      </w:r>
    </w:p>
    <w:p>
      <w:pPr>
        <w:ind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color w:val="auto"/>
          <w:sz w:val="20"/>
          <w:szCs w:val="20"/>
        </w:rPr>
        <w:t>6.2. Настоящий договор действует до момента полного выполнения Сторонами взятых на себя обязательств.</w:t>
      </w:r>
      <w:r>
        <w:rPr>
          <w:b/>
          <w:bCs/>
          <w:color w:val="auto"/>
          <w:sz w:val="20"/>
          <w:szCs w:val="20"/>
        </w:rPr>
      </w:r>
    </w:p>
    <w:p>
      <w:pPr>
        <w:ind w:right="5" w:firstLine="567"/>
        <w:spacing/>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
          <w:bCs/>
          <w:color w:val="auto"/>
          <w:sz w:val="20"/>
          <w:szCs w:val="20"/>
        </w:rPr>
        <w:t>7. ПОРЯДОК РАЗРЕШЕНИЯ СПОРОВ</w:t>
      </w:r>
    </w:p>
    <w:p>
      <w:pPr>
        <w:pStyle w:val="para10"/>
        <w:ind w:left="0" w:firstLine="567"/>
        <w:spacing/>
        <w:jc w:val="both"/>
        <w:rPr>
          <w:color w:val="auto"/>
          <w:sz w:val="20"/>
          <w:szCs w:val="20"/>
        </w:rPr>
      </w:pPr>
      <w:r>
        <w:rPr>
          <w:bCs/>
          <w:color w:val="auto"/>
          <w:sz w:val="20"/>
          <w:szCs w:val="20"/>
        </w:rPr>
        <w:t xml:space="preserve">7.1. </w:t>
      </w:r>
      <w:r>
        <w:rPr>
          <w:color w:val="auto"/>
          <w:sz w:val="20"/>
          <w:szCs w:val="20"/>
        </w:rPr>
        <w:t>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pPr>
        <w:pStyle w:val="para10"/>
        <w:ind w:left="0" w:firstLine="567"/>
        <w:spacing/>
        <w:jc w:val="both"/>
        <w:rPr>
          <w:bCs/>
          <w:color w:val="auto"/>
          <w:sz w:val="20"/>
          <w:szCs w:val="20"/>
        </w:rPr>
      </w:pPr>
      <w:r>
        <w:rPr>
          <w:color w:val="auto"/>
          <w:sz w:val="20"/>
          <w:szCs w:val="20"/>
        </w:rPr>
        <w:t>7.2. Все споры и разногласия между Сторонами, по которым не было достигнуто соглашение, разрешаются в соответствии с законодательством Российской Федерации в Арбитражном суде по месту нахождения Продавца.</w:t>
      </w:r>
      <w:r>
        <w:rPr>
          <w:bCs/>
          <w:color w:val="auto"/>
          <w:sz w:val="20"/>
          <w:szCs w:val="20"/>
        </w:rPr>
      </w:r>
    </w:p>
    <w:p>
      <w:pPr>
        <w:ind w:right="5" w:firstLine="567"/>
        <w:spacing/>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
          <w:bCs/>
          <w:color w:val="auto"/>
          <w:sz w:val="20"/>
          <w:szCs w:val="20"/>
        </w:rPr>
        <w:t>8. ИЗМЕНЕНИЕ УСЛОВИЙ НАСТОЯЩЕГО ДОГОВОРА</w:t>
      </w:r>
    </w:p>
    <w:p>
      <w:pPr>
        <w:ind w:right="5" w:firstLine="567"/>
        <w:spacing/>
        <w:jc w:val="both"/>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Cs/>
          <w:color w:val="auto"/>
          <w:sz w:val="20"/>
          <w:szCs w:val="20"/>
        </w:rPr>
        <w:t xml:space="preserve">8.1. </w:t>
      </w:r>
      <w:r>
        <w:rPr>
          <w:color w:val="auto"/>
          <w:sz w:val="20"/>
          <w:szCs w:val="20"/>
        </w:rPr>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r>
        <w:rPr>
          <w:b/>
          <w:bCs/>
          <w:color w:val="auto"/>
          <w:sz w:val="20"/>
          <w:szCs w:val="20"/>
        </w:rPr>
      </w:r>
    </w:p>
    <w:p>
      <w:pPr>
        <w:ind w:right="5" w:firstLine="567"/>
        <w:spacing/>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auto"/>
          <w:sz w:val="20"/>
          <w:szCs w:val="20"/>
        </w:rPr>
      </w:pPr>
      <w:r>
        <w:rPr>
          <w:b/>
          <w:bCs/>
          <w:color w:val="auto"/>
          <w:sz w:val="20"/>
          <w:szCs w:val="20"/>
        </w:rPr>
        <w:t>9. ПРОЧИЕ И ОСОБЫЕ УСЛОВИЯ</w:t>
      </w:r>
    </w:p>
    <w:p>
      <w:pPr>
        <w:pStyle w:val="para7"/>
        <w:ind w:firstLine="567"/>
        <w:spacing w:before="0" w:after="0"/>
        <w:jc w:val="both"/>
        <w:rPr>
          <w:sz w:val="20"/>
          <w:szCs w:val="20"/>
        </w:rPr>
      </w:pPr>
      <w:r>
        <w:rPr>
          <w:bCs/>
          <w:sz w:val="20"/>
          <w:szCs w:val="20"/>
        </w:rPr>
        <w:t xml:space="preserve">9.1. </w:t>
      </w:r>
      <w:r>
        <w:rPr>
          <w:sz w:val="20"/>
          <w:szCs w:val="20"/>
        </w:rPr>
        <w:t xml:space="preserve">Настоящий договор составлен на русском языке, в 3 (трех) подлинных экземплярах, имеющих одинаковую юридическую силу: по одному экземпляру для каждой из Сторон, а также для предоставления одного экземпляра в территориальное отделение ГИБДД для регистрации права собственности на ТС. </w:t>
      </w:r>
    </w:p>
    <w:p>
      <w:pPr>
        <w:pStyle w:val="para10"/>
        <w:ind w:left="0" w:firstLine="567"/>
        <w:spacing/>
        <w:jc w:val="both"/>
        <w:rPr>
          <w:color w:val="auto"/>
          <w:sz w:val="20"/>
          <w:szCs w:val="20"/>
        </w:rPr>
      </w:pPr>
      <w:r>
        <w:rPr>
          <w:color w:val="auto"/>
          <w:sz w:val="20"/>
          <w:szCs w:val="20"/>
        </w:rPr>
        <w:t xml:space="preserve">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w:t>
      </w:r>
    </w:p>
    <w:p>
      <w:pPr>
        <w:pStyle w:val="para10"/>
        <w:ind w:left="0" w:firstLine="567"/>
        <w:spacing/>
        <w:jc w:val="both"/>
        <w:rPr>
          <w:color w:val="auto"/>
          <w:sz w:val="20"/>
          <w:szCs w:val="20"/>
        </w:rPr>
      </w:pPr>
      <w:r>
        <w:rPr>
          <w:color w:val="auto"/>
          <w:sz w:val="20"/>
          <w:szCs w:val="20"/>
        </w:rPr>
        <w:t>9.3. Во всем, что не урегулировано настоящим договором, Стороны руководствуются действующим законодательством России.</w:t>
      </w:r>
    </w:p>
    <w:p>
      <w:pPr>
        <w:spacing/>
        <w:jc w:val="both"/>
        <w:rPr>
          <w:b/>
          <w:color w:val="auto"/>
          <w:sz w:val="20"/>
          <w:szCs w:val="20"/>
        </w:rPr>
      </w:pPr>
      <w:r>
        <w:rPr>
          <w:b/>
          <w:color w:val="auto"/>
          <w:sz w:val="20"/>
          <w:szCs w:val="20"/>
        </w:rPr>
      </w:r>
    </w:p>
    <w:p>
      <w:pPr>
        <w:ind w:left="567" w:right="5"/>
        <w:spacing/>
        <w:jc w:val="center"/>
        <w:widowControl w:val="0"/>
        <w:tabs defTabSz="709">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aps/>
          <w:color w:val="auto"/>
          <w:sz w:val="20"/>
          <w:szCs w:val="20"/>
        </w:rPr>
      </w:pPr>
      <w:r/>
      <w:bookmarkStart w:id="7" w:name="_Ref89151530"/>
      <w:bookmarkEnd w:id="7"/>
      <w:r/>
      <w:r>
        <w:rPr>
          <w:b/>
          <w:bCs/>
          <w:caps/>
          <w:color w:val="auto"/>
          <w:sz w:val="20"/>
          <w:szCs w:val="20"/>
        </w:rPr>
        <w:t>10. реквизиты И ПОДПИСИ сторон</w:t>
      </w:r>
      <w:r>
        <w:rPr>
          <w:b/>
          <w:bCs/>
          <w:caps/>
          <w:color w:val="auto"/>
          <w:sz w:val="20"/>
          <w:szCs w:val="20"/>
        </w:rPr>
      </w:r>
    </w:p>
    <w:tbl>
      <w:tblPr>
        <w:tblStyle w:val="NormalTable"/>
        <w:name w:val="Таблица2"/>
        <w:tabOrder w:val="0"/>
        <w:jc w:val="center"/>
        <w:tblInd w:w="0" w:type="dxa"/>
        <w:tblW w:w="9571" w:type="dxa"/>
        <w:tblLook w:val="0600" w:firstRow="0" w:lastRow="0" w:firstColumn="0" w:lastColumn="0" w:noHBand="1" w:noVBand="1"/>
      </w:tblPr>
      <w:tblGrid>
        <w:gridCol w:w="4536"/>
        <w:gridCol w:w="452"/>
        <w:gridCol w:w="4387"/>
        <w:gridCol w:w="196"/>
      </w:tblGrid>
      <w:tr>
        <w:trPr>
          <w:tblHeader w:val="0"/>
          <w:cantSplit w:val="0"/>
          <w:trHeight w:val="658" w:hRule="atLeast"/>
        </w:trPr>
        <w:tc>
          <w:tcPr>
            <w:tcW w:w="4536" w:type="dxa"/>
            <w:tcMar>
              <w:top w:w="0" w:type="dxa"/>
              <w:left w:w="108" w:type="dxa"/>
              <w:bottom w:w="0" w:type="dxa"/>
              <w:right w:w="108" w:type="dxa"/>
            </w:tcMar>
            <w:tmTcPr id="1769500964" protected="0"/>
          </w:tcPr>
          <w:p>
            <w:pPr>
              <w:spacing/>
              <w:jc w:val="center"/>
              <w:rPr>
                <w:b/>
                <w:sz w:val="20"/>
                <w:szCs w:val="20"/>
              </w:rPr>
            </w:pPr>
            <w:r>
              <w:rPr>
                <w:b/>
                <w:sz w:val="20"/>
                <w:szCs w:val="20"/>
              </w:rPr>
              <w:t>«Продавец»</w:t>
            </w:r>
          </w:p>
        </w:tc>
        <w:tc>
          <w:tcPr>
            <w:tcW w:w="4839" w:type="dxa"/>
            <w:gridSpan w:val="2"/>
            <w:tcMar>
              <w:top w:w="0" w:type="dxa"/>
              <w:left w:w="108" w:type="dxa"/>
              <w:bottom w:w="0" w:type="dxa"/>
              <w:right w:w="108" w:type="dxa"/>
            </w:tcMar>
            <w:tmTcPr id="1769500964" protected="0"/>
          </w:tcPr>
          <w:p>
            <w:pPr>
              <w:spacing/>
              <w:jc w:val="center"/>
              <w:widowControl w:val="0"/>
              <w:rPr>
                <w:b/>
                <w:sz w:val="20"/>
                <w:szCs w:val="20"/>
              </w:rPr>
            </w:pPr>
            <w:r>
              <w:rPr>
                <w:b/>
                <w:sz w:val="20"/>
                <w:szCs w:val="20"/>
              </w:rPr>
              <w:t>«Покупатель»:</w:t>
            </w:r>
          </w:p>
          <w:p>
            <w:pPr>
              <w:spacing/>
              <w:jc w:val="center"/>
              <w:widowControl w:val="0"/>
              <w:rPr>
                <w:sz w:val="20"/>
                <w:szCs w:val="20"/>
              </w:rPr>
            </w:pPr>
            <w:r>
              <w:rPr>
                <w:sz w:val="20"/>
                <w:szCs w:val="20"/>
              </w:rPr>
            </w:r>
          </w:p>
        </w:tc>
      </w:tr>
      <w:tr>
        <w:trPr>
          <w:tblHeader w:val="0"/>
          <w:cantSplit w:val="0"/>
          <w:trHeight w:val="0" w:hRule="atLeast"/>
        </w:trPr>
        <w:tc>
          <w:tcPr>
            <w:tcW w:w="4536" w:type="dxa"/>
            <w:tcMar>
              <w:top w:w="0" w:type="dxa"/>
              <w:left w:w="108" w:type="dxa"/>
              <w:bottom w:w="0" w:type="dxa"/>
              <w:right w:w="108" w:type="dxa"/>
            </w:tcMar>
            <w:tmTcPr id="1769500964" protected="0"/>
          </w:tcPr>
          <w:p>
            <w:pPr>
              <w:ind w:firstLine="567"/>
              <w:spacing/>
              <w:jc w:val="both"/>
              <w:rPr>
                <w:kern w:val="1"/>
                <w:sz w:val="20"/>
                <w:szCs w:val="20"/>
              </w:rPr>
            </w:pPr>
            <w:r>
              <w:rPr>
                <w:kern w:val="1"/>
                <w:sz w:val="20"/>
                <w:szCs w:val="20"/>
              </w:rPr>
              <w:t xml:space="preserve">Мавлютова Алия Ильдаровна, 23.01.1997 г.р., место рождения: с. Бичурино Бардымский район Пермская обл., паспорт  выдан:, дата выдачи:  года, код подразделения: , адрес регистрации: Пермский край, Бардымский район, с. Барда, являющейся бывшей супругой должника, брак с которым расторгнут на основании решения Мирового судьи судебного участка № 2 Бардымского судебного района Пермского края от 26.08.2024 года - Мавлютова Рамзита Шархумовича, 10.07.1994 г.р., место рождения: дер. Батырбай Бардымского района Пермской обл., адрес регистрации: Пермский край, Бардымский район, д. Батырбай, ул. Мира, д. 15, СНИЛС 135-304-738 36, ИНН 594488785589 (паспортные данные), в лице финансового управляющего Максеевой Алины Ринатовны, ИНН </w:t>
            </w:r>
            <w:r>
              <w:rPr>
                <w:bCs/>
                <w:kern w:val="1"/>
                <w:sz w:val="20"/>
                <w:szCs w:val="20"/>
              </w:rPr>
              <w:t>890604115564</w:t>
            </w:r>
            <w:r>
              <w:rPr>
                <w:kern w:val="1"/>
                <w:sz w:val="20"/>
                <w:szCs w:val="20"/>
              </w:rPr>
              <w:t>, адрес для направления корреспонденции: 614035, Пермский край, с. Фролы, ул. Центральная, д. 4, действующего на основании Решения Арбитражного суда Пермского края от 30.10.2024 года  по делу № А50-21150/2024</w:t>
            </w:r>
          </w:p>
        </w:tc>
        <w:tc>
          <w:tcPr>
            <w:tcW w:w="4839" w:type="dxa"/>
            <w:gridSpan w:val="2"/>
            <w:tcMar>
              <w:top w:w="0" w:type="dxa"/>
              <w:left w:w="108" w:type="dxa"/>
              <w:bottom w:w="0" w:type="dxa"/>
              <w:right w:w="108" w:type="dxa"/>
            </w:tcMar>
            <w:tmTcPr id="1769500964" protected="0"/>
          </w:tcPr>
          <w:p>
            <w:pPr>
              <w:ind w:firstLine="567"/>
              <w:spacing/>
              <w:jc w:val="both"/>
              <w:rPr>
                <w:color w:val="auto"/>
                <w:sz w:val="20"/>
                <w:szCs w:val="20"/>
              </w:rPr>
            </w:pPr>
            <w:r>
              <w:rPr>
                <w:color w:val="auto"/>
                <w:sz w:val="20"/>
                <w:szCs w:val="20"/>
              </w:rPr>
            </w:r>
          </w:p>
        </w:tc>
      </w:tr>
      <w:tr>
        <w:trPr>
          <w:tblHeader w:val="0"/>
          <w:cantSplit w:val="0"/>
          <w:trHeight w:val="0" w:hRule="atLeast"/>
        </w:trPr>
        <w:tc>
          <w:tcPr>
            <w:tcW w:w="4536" w:type="dxa"/>
            <w:tcMar>
              <w:top w:w="0" w:type="dxa"/>
              <w:left w:w="108" w:type="dxa"/>
              <w:bottom w:w="0" w:type="dxa"/>
              <w:right w:w="108" w:type="dxa"/>
            </w:tcMar>
            <w:tmTcPr id="1769500964" protected="0"/>
          </w:tcPr>
          <w:p>
            <w:pPr>
              <w:spacing/>
              <w:jc w:val="both"/>
              <w:rPr>
                <w:sz w:val="20"/>
                <w:szCs w:val="20"/>
              </w:rPr>
            </w:pPr>
            <w:r>
              <w:rPr>
                <w:sz w:val="20"/>
                <w:szCs w:val="20"/>
              </w:rPr>
              <w:t>От продавца:</w:t>
            </w:r>
          </w:p>
          <w:p>
            <w:pPr>
              <w:spacing/>
              <w:jc w:val="both"/>
              <w:rPr>
                <w:sz w:val="20"/>
                <w:szCs w:val="20"/>
              </w:rPr>
            </w:pPr>
            <w:r>
              <w:rPr>
                <w:sz w:val="20"/>
                <w:szCs w:val="20"/>
              </w:rPr>
              <w:t xml:space="preserve">Финансовый управляющий </w:t>
            </w:r>
          </w:p>
          <w:p>
            <w:pPr>
              <w:spacing/>
              <w:jc w:val="both"/>
              <w:rPr>
                <w:sz w:val="20"/>
                <w:szCs w:val="20"/>
              </w:rPr>
            </w:pPr>
            <w:r>
              <w:rPr>
                <w:sz w:val="20"/>
                <w:szCs w:val="20"/>
              </w:rPr>
              <w:t>_____________________/Максеева А.Р./</w:t>
            </w:r>
          </w:p>
          <w:p>
            <w:pPr>
              <w:spacing/>
              <w:jc w:val="both"/>
              <w:rPr>
                <w:sz w:val="20"/>
                <w:szCs w:val="20"/>
              </w:rPr>
            </w:pPr>
            <w:r>
              <w:rPr>
                <w:sz w:val="20"/>
                <w:szCs w:val="20"/>
              </w:rPr>
            </w:r>
          </w:p>
          <w:p>
            <w:pPr>
              <w:spacing/>
              <w:jc w:val="both"/>
              <w:rPr>
                <w:sz w:val="20"/>
                <w:szCs w:val="20"/>
              </w:rPr>
            </w:pPr>
            <w:r>
              <w:rPr>
                <w:sz w:val="20"/>
                <w:szCs w:val="20"/>
              </w:rPr>
            </w:r>
          </w:p>
        </w:tc>
        <w:tc>
          <w:tcPr>
            <w:tcW w:w="4839" w:type="dxa"/>
            <w:gridSpan w:val="2"/>
            <w:tcMar>
              <w:top w:w="0" w:type="dxa"/>
              <w:left w:w="108" w:type="dxa"/>
              <w:bottom w:w="0" w:type="dxa"/>
              <w:right w:w="108" w:type="dxa"/>
            </w:tcMar>
            <w:tmTcPr id="1769500964" protected="0"/>
          </w:tcPr>
          <w:p>
            <w:pPr>
              <w:rPr>
                <w:sz w:val="20"/>
                <w:szCs w:val="20"/>
              </w:rPr>
            </w:pPr>
            <w:r>
              <w:rPr>
                <w:sz w:val="20"/>
                <w:szCs w:val="20"/>
              </w:rPr>
              <w:t>От покупателя:</w:t>
            </w:r>
          </w:p>
          <w:p>
            <w:pPr>
              <w:rPr>
                <w:sz w:val="20"/>
                <w:szCs w:val="20"/>
              </w:rPr>
            </w:pPr>
            <w:r>
              <w:rPr>
                <w:sz w:val="20"/>
                <w:szCs w:val="20"/>
              </w:rPr>
            </w:r>
          </w:p>
          <w:p>
            <w:pPr>
              <w:rPr>
                <w:sz w:val="20"/>
                <w:szCs w:val="20"/>
              </w:rPr>
            </w:pPr>
            <w:r>
              <w:rPr>
                <w:sz w:val="20"/>
                <w:szCs w:val="20"/>
              </w:rPr>
              <w:t>_________________________/</w:t>
            </w:r>
          </w:p>
          <w:p>
            <w:pPr>
              <w:spacing/>
              <w:jc w:val="both"/>
              <w:rPr>
                <w:sz w:val="20"/>
                <w:szCs w:val="20"/>
              </w:rPr>
            </w:pPr>
            <w:r>
              <w:rPr>
                <w:sz w:val="20"/>
                <w:szCs w:val="20"/>
              </w:rPr>
            </w:r>
          </w:p>
          <w:p>
            <w:pPr>
              <w:spacing/>
              <w:jc w:val="both"/>
              <w:rPr>
                <w:sz w:val="20"/>
                <w:szCs w:val="20"/>
              </w:rPr>
            </w:pPr>
            <w:r>
              <w:rPr>
                <w:sz w:val="20"/>
                <w:szCs w:val="20"/>
              </w:rPr>
            </w:r>
          </w:p>
        </w:tc>
      </w:tr>
      <w:tr>
        <w:trPr>
          <w:tblHeader w:val="0"/>
          <w:cantSplit w:val="0"/>
          <w:trHeight w:val="53" w:hRule="atLeast"/>
        </w:trPr>
        <w:tc>
          <w:tcPr>
            <w:tcW w:w="4988" w:type="dxa"/>
            <w:gridSpan w:val="2"/>
            <w:tcMar>
              <w:top w:w="0" w:type="dxa"/>
              <w:left w:w="108" w:type="dxa"/>
              <w:bottom w:w="0" w:type="dxa"/>
              <w:right w:w="108" w:type="dxa"/>
            </w:tcMar>
            <w:tmTcPr id="1769500964" protected="0"/>
          </w:tcPr>
          <w:p>
            <w:pPr>
              <w:widowControl w:val="0"/>
              <w:rPr>
                <w:rFonts w:eastAsia="MS Mincho"/>
                <w:color w:val="auto"/>
                <w:sz w:val="20"/>
                <w:szCs w:val="20"/>
              </w:rPr>
            </w:pPr>
            <w:r/>
            <w:bookmarkStart w:id="8" w:name="_Hlk152450879"/>
            <w:bookmarkEnd w:id="8"/>
            <w:r/>
            <w:r>
              <w:rPr>
                <w:rFonts w:eastAsia="MS Mincho"/>
                <w:color w:val="auto"/>
                <w:sz w:val="20"/>
                <w:szCs w:val="20"/>
              </w:rPr>
            </w:r>
          </w:p>
        </w:tc>
        <w:tc>
          <w:tcPr>
            <w:tcW w:w="4583" w:type="dxa"/>
            <w:gridSpan w:val="2"/>
            <w:tcMar>
              <w:top w:w="0" w:type="dxa"/>
              <w:left w:w="108" w:type="dxa"/>
              <w:bottom w:w="0" w:type="dxa"/>
              <w:right w:w="108" w:type="dxa"/>
            </w:tcMar>
            <w:tmTcPr id="1769500964" protected="0"/>
          </w:tcPr>
          <w:p>
            <w:pPr>
              <w:widowControl w:val="0"/>
              <w:rPr>
                <w:rFonts w:eastAsia="MS Mincho"/>
                <w:color w:val="auto"/>
                <w:sz w:val="20"/>
                <w:szCs w:val="20"/>
              </w:rPr>
            </w:pPr>
            <w:r>
              <w:rPr>
                <w:rFonts w:eastAsia="MS Mincho"/>
                <w:color w:val="auto"/>
                <w:sz w:val="20"/>
                <w:szCs w:val="20"/>
              </w:rPr>
            </w:r>
          </w:p>
        </w:tc>
      </w:tr>
      <w:tr>
        <w:trPr>
          <w:tblHeader w:val="0"/>
          <w:cantSplit w:val="0"/>
          <w:trHeight w:val="55" w:hRule="atLeast"/>
        </w:trPr>
        <w:tc>
          <w:tcPr>
            <w:tcW w:w="4988" w:type="dxa"/>
            <w:gridSpan w:val="2"/>
            <w:tcMar>
              <w:top w:w="0" w:type="dxa"/>
              <w:left w:w="108" w:type="dxa"/>
              <w:bottom w:w="0" w:type="dxa"/>
              <w:right w:w="108" w:type="dxa"/>
            </w:tcMar>
            <w:tmTcPr id="1769500964" protected="0"/>
          </w:tcPr>
          <w:p>
            <w:pPr>
              <w:widowControl w:val="0"/>
              <w:rPr>
                <w:color w:val="auto"/>
                <w:sz w:val="20"/>
                <w:szCs w:val="20"/>
              </w:rPr>
            </w:pPr>
            <w:r>
              <w:rPr>
                <w:color w:val="auto"/>
                <w:sz w:val="20"/>
                <w:szCs w:val="20"/>
              </w:rPr>
            </w:r>
          </w:p>
        </w:tc>
        <w:tc>
          <w:tcPr>
            <w:tcW w:w="4583" w:type="dxa"/>
            <w:gridSpan w:val="2"/>
            <w:tcMar>
              <w:top w:w="0" w:type="dxa"/>
              <w:left w:w="108" w:type="dxa"/>
              <w:bottom w:w="0" w:type="dxa"/>
              <w:right w:w="108" w:type="dxa"/>
            </w:tcMar>
            <w:tmTcPr id="1769500964" protected="0"/>
          </w:tcPr>
          <w:p>
            <w:pPr>
              <w:spacing/>
              <w:jc w:val="both"/>
              <w:rPr>
                <w:rFonts w:eastAsia="MS Mincho"/>
                <w:color w:val="auto"/>
                <w:sz w:val="20"/>
                <w:szCs w:val="20"/>
              </w:rPr>
            </w:pPr>
            <w:r>
              <w:rPr>
                <w:rFonts w:eastAsia="MS Mincho"/>
                <w:color w:val="auto"/>
                <w:sz w:val="20"/>
                <w:szCs w:val="20"/>
              </w:rPr>
            </w:r>
          </w:p>
        </w:tc>
      </w:tr>
      <w:tr>
        <w:trPr>
          <w:tblHeader w:val="0"/>
          <w:cantSplit w:val="0"/>
          <w:trHeight w:val="66" w:hRule="atLeast"/>
        </w:trPr>
        <w:tc>
          <w:tcPr>
            <w:tcW w:w="4988" w:type="dxa"/>
            <w:gridSpan w:val="2"/>
            <w:tcMar>
              <w:top w:w="0" w:type="dxa"/>
              <w:left w:w="108" w:type="dxa"/>
              <w:bottom w:w="0" w:type="dxa"/>
              <w:right w:w="108" w:type="dxa"/>
            </w:tcMar>
            <w:tmTcPr id="1769500964" protected="0"/>
          </w:tcPr>
          <w:p>
            <w:pPr>
              <w:widowControl w:val="0"/>
              <w:rPr>
                <w:rFonts w:eastAsia="MS Mincho"/>
                <w:color w:val="auto"/>
                <w:sz w:val="22"/>
                <w:szCs w:val="22"/>
              </w:rPr>
            </w:pPr>
            <w:r>
              <w:rPr>
                <w:rFonts w:eastAsia="MS Mincho"/>
                <w:color w:val="auto"/>
                <w:sz w:val="22"/>
                <w:szCs w:val="22"/>
              </w:rPr>
            </w:r>
          </w:p>
        </w:tc>
        <w:tc>
          <w:tcPr>
            <w:tcW w:w="4583" w:type="dxa"/>
            <w:gridSpan w:val="2"/>
            <w:tcMar>
              <w:top w:w="0" w:type="dxa"/>
              <w:left w:w="108" w:type="dxa"/>
              <w:bottom w:w="0" w:type="dxa"/>
              <w:right w:w="108" w:type="dxa"/>
            </w:tcMar>
            <w:tmTcPr id="1769500964" protected="0"/>
          </w:tcPr>
          <w:p>
            <w:pPr>
              <w:spacing/>
              <w:jc w:val="both"/>
              <w:rPr>
                <w:color w:val="auto"/>
                <w:sz w:val="22"/>
                <w:szCs w:val="22"/>
              </w:rPr>
            </w:pPr>
            <w:r>
              <w:rPr>
                <w:color w:val="auto"/>
                <w:sz w:val="22"/>
                <w:szCs w:val="22"/>
              </w:rPr>
            </w:r>
          </w:p>
        </w:tc>
      </w:tr>
      <w:tr>
        <w:trPr>
          <w:tblHeader w:val="0"/>
          <w:cantSplit w:val="0"/>
          <w:trHeight w:val="0" w:hRule="atLeast"/>
        </w:trPr>
        <w:tc>
          <w:tcPr>
            <w:tcW w:w="4988" w:type="dxa"/>
            <w:gridSpan w:val="2"/>
            <w:tcMar>
              <w:top w:w="0" w:type="dxa"/>
              <w:left w:w="108" w:type="dxa"/>
              <w:bottom w:w="0" w:type="dxa"/>
              <w:right w:w="108" w:type="dxa"/>
            </w:tcMar>
            <w:tmTcPr id="1769500964" protected="0"/>
          </w:tcPr>
          <w:p>
            <w:pPr>
              <w:widowControl w:val="0"/>
              <w:rPr>
                <w:rFonts w:eastAsia="MS Mincho"/>
                <w:caps/>
                <w:color w:val="auto"/>
                <w:sz w:val="22"/>
                <w:szCs w:val="22"/>
              </w:rPr>
            </w:pPr>
            <w:r>
              <w:rPr>
                <w:rFonts w:eastAsia="MS Mincho"/>
                <w:caps/>
                <w:color w:val="auto"/>
                <w:sz w:val="22"/>
                <w:szCs w:val="22"/>
              </w:rPr>
            </w:r>
          </w:p>
        </w:tc>
        <w:tc>
          <w:tcPr>
            <w:tcW w:w="4583" w:type="dxa"/>
            <w:gridSpan w:val="2"/>
            <w:tcMar>
              <w:top w:w="0" w:type="dxa"/>
              <w:left w:w="108" w:type="dxa"/>
              <w:bottom w:w="0" w:type="dxa"/>
              <w:right w:w="108" w:type="dxa"/>
            </w:tcMar>
            <w:tmTcPr id="1769500964" protected="0"/>
          </w:tcPr>
          <w:p>
            <w:pPr>
              <w:ind w:left="122" w:right="77"/>
              <w:spacing w:line="254" w:lineRule="atLeast"/>
              <w:rPr>
                <w:color w:val="auto"/>
                <w:sz w:val="22"/>
                <w:szCs w:val="22"/>
              </w:rPr>
            </w:pPr>
            <w:r>
              <w:rPr>
                <w:color w:val="auto"/>
                <w:sz w:val="22"/>
                <w:szCs w:val="22"/>
              </w:rPr>
            </w:r>
          </w:p>
        </w:tc>
      </w:tr>
    </w:tbl>
    <w:p>
      <w:pPr>
        <w:spacing/>
        <w:jc w:val="both"/>
        <w:rPr>
          <w:sz w:val="22"/>
          <w:szCs w:val="22"/>
        </w:rPr>
      </w:pPr>
      <w:r>
        <w:rPr>
          <w:sz w:val="22"/>
          <w:szCs w:val="22"/>
        </w:rPr>
      </w:r>
    </w:p>
    <w:sectPr>
      <w:footnotePr>
        <w:pos w:val="pageBottom"/>
        <w:numFmt w:val="decimal"/>
        <w:numStart w:val="1"/>
        <w:numRestart w:val="continuous"/>
      </w:footnotePr>
      <w:endnotePr>
        <w:pos w:val="docEnd"/>
        <w:numFmt w:val="decimal"/>
        <w:numStart w:val="1"/>
        <w:numRestart w:val="continuous"/>
      </w:endnotePr>
      <w:footerReference w:type="default" r:id="rId8"/>
      <w:type w:val="nextPage"/>
      <w:pgSz w:h="16838" w:w="11906"/>
      <w:pgMar w:left="1701" w:top="284" w:right="850" w:bottom="284" w:header="0" w:footer="463"/>
      <w:paperSrc w:first="0" w:other="0" a="0" b="0"/>
      <w:pgNumType w:fmt="decimal"/>
      <w:tmGutter w:val="3"/>
      <w:mirrorMargins w:val="0"/>
      <w:tmSection w:h="-2">
        <w:tmFooter w:id="0" w:h="0" edge="46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宋体">
    <w:panose1 w:val="02010600030101010101"/>
    <w:charset w:val="86"/>
    <w:family w:val="auto"/>
    <w:pitch w:val="default"/>
  </w:font>
  <w:font w:name="Courier New">
    <w:panose1 w:val="02070309020205020404"/>
    <w:charset w:val="00"/>
    <w:family w:val="modern"/>
    <w:pitch w:val="default"/>
  </w:font>
  <w:font w:name="黑体">
    <w:panose1 w:val="02010609030101010101"/>
    <w:charset w:val="86"/>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Tahoma">
    <w:panose1 w:val="020B0604030504040204"/>
    <w:charset w:val="cc"/>
    <w:family w:val="swiss"/>
    <w:pitch w:val="default"/>
  </w:font>
  <w:font w:name="Verdana">
    <w:panose1 w:val="020B0604030504040204"/>
    <w:charset w:val="cc"/>
    <w:family w:val="swiss"/>
    <w:pitch w:val="default"/>
  </w:font>
  <w:font w:name="MS Mincho">
    <w:panose1 w:val="02020500000000000000"/>
    <w:charset w:val="80"/>
    <w:family w:val="roman"/>
    <w:pitch w:val="default"/>
  </w:font>
  <w:font w:name="Yu Gothic UI">
    <w:panose1 w:val="020B0500000000000000"/>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spacing/>
      <w:jc w:val="right"/>
      <w:rPr>
        <w:sz w:val="20"/>
      </w:rPr>
    </w:pPr>
    <w:r>
      <w:rPr>
        <w:sz w:val="20"/>
      </w:rPr>
      <w:fldChar w:fldCharType="begin"/>
      <w:instrText xml:space="preserve"> PAGE </w:instrText>
      <w:fldChar w:fldCharType="separate"/>
      <w:t>2</w:t>
      <w:fldChar w:fldCharType="end"/>
    </w:r>
  </w:p>
  <w:p>
    <w:pPr>
      <w:pStyle w:val="para6"/>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0" w:hanging="0"/>
      </w:pPr>
    </w:lvl>
    <w:lvl w:ilvl="1">
      <w:start w:val="1"/>
      <w:numFmt w:val="decimal"/>
      <w:suff w:val="tab"/>
      <w:lvlText w:val="%1.%2."/>
      <w:lvlJc w:val="left"/>
      <w:pPr>
        <w:ind w:left="567" w:hanging="0"/>
      </w:pPr>
    </w:lvl>
    <w:lvl w:ilvl="2">
      <w:start w:val="1"/>
      <w:numFmt w:val="decimal"/>
      <w:suff w:val="tab"/>
      <w:lvlText w:val="%1.%2.%3."/>
      <w:lvlJc w:val="left"/>
      <w:pPr>
        <w:ind w:left="1134" w:hanging="0"/>
      </w:pPr>
    </w:lvl>
    <w:lvl w:ilvl="3">
      <w:start w:val="1"/>
      <w:numFmt w:val="decimal"/>
      <w:suff w:val="tab"/>
      <w:lvlText w:val="%1.%2.%3.%4."/>
      <w:lvlJc w:val="left"/>
      <w:pPr>
        <w:ind w:left="1701" w:hanging="0"/>
      </w:pPr>
    </w:lvl>
    <w:lvl w:ilvl="4">
      <w:start w:val="1"/>
      <w:numFmt w:val="decimal"/>
      <w:suff w:val="tab"/>
      <w:lvlText w:val="%1.%2.%3.%4.%5."/>
      <w:lvlJc w:val="left"/>
      <w:pPr>
        <w:ind w:left="2268" w:hanging="0"/>
      </w:pPr>
    </w:lvl>
    <w:lvl w:ilvl="5">
      <w:start w:val="1"/>
      <w:numFmt w:val="decimal"/>
      <w:suff w:val="tab"/>
      <w:lvlText w:val="%1.%2.%3.%4.%5.%6."/>
      <w:lvlJc w:val="left"/>
      <w:pPr>
        <w:ind w:left="2835" w:hanging="0"/>
      </w:pPr>
    </w:lvl>
    <w:lvl w:ilvl="6">
      <w:start w:val="1"/>
      <w:numFmt w:val="decimal"/>
      <w:suff w:val="tab"/>
      <w:lvlText w:val="%1.%2.%3.%4.%5.%6.%7."/>
      <w:lvlJc w:val="left"/>
      <w:pPr>
        <w:ind w:left="3402" w:hanging="0"/>
      </w:pPr>
    </w:lvl>
    <w:lvl w:ilvl="7">
      <w:start w:val="1"/>
      <w:numFmt w:val="decimal"/>
      <w:suff w:val="tab"/>
      <w:lvlText w:val="%1.%2.%3.%4.%5.%6.%7.%8."/>
      <w:lvlJc w:val="left"/>
      <w:pPr>
        <w:ind w:left="3969" w:hanging="0"/>
      </w:pPr>
    </w:lvl>
    <w:lvl w:ilvl="8">
      <w:start w:val="1"/>
      <w:numFmt w:val="decimal"/>
      <w:suff w:val="tab"/>
      <w:lvlText w:val="%1.%2.%3.%4.%5.%6.%7.%8.%9."/>
      <w:lvlJc w:val="left"/>
      <w:pPr>
        <w:ind w:left="4536" w:hanging="0"/>
      </w:pPr>
    </w:lvl>
  </w:abstractNum>
  <w:abstractNum w:abstractNumId="2">
    <w:multiLevelType w:val="hybridMultilevel"/>
    <w:name w:val="Нумерованный список 2"/>
    <w:lvl w:ilvl="0">
      <w:start w:val="1"/>
      <w:numFmt w:val="decimal"/>
      <w:suff w:val="tab"/>
      <w:lvlText w:val="%1."/>
      <w:lvlJc w:val="left"/>
      <w:pPr>
        <w:ind w:left="567" w:hanging="0"/>
      </w:pPr>
    </w:lvl>
    <w:lvl w:ilvl="1">
      <w:start w:val="1"/>
      <w:numFmt w:val="lowerLetter"/>
      <w:suff w:val="tab"/>
      <w:lvlText w:val="%2."/>
      <w:lvlJc w:val="left"/>
      <w:pPr>
        <w:ind w:left="1287" w:hanging="0"/>
      </w:pPr>
    </w:lvl>
    <w:lvl w:ilvl="2">
      <w:start w:val="1"/>
      <w:numFmt w:val="lowerRoman"/>
      <w:suff w:val="tab"/>
      <w:lvlText w:val="%3."/>
      <w:lvlJc w:val="left"/>
      <w:pPr>
        <w:ind w:left="2187" w:hanging="0"/>
      </w:pPr>
    </w:lvl>
    <w:lvl w:ilvl="3">
      <w:start w:val="1"/>
      <w:numFmt w:val="decimal"/>
      <w:suff w:val="tab"/>
      <w:lvlText w:val="%4."/>
      <w:lvlJc w:val="left"/>
      <w:pPr>
        <w:ind w:left="2727" w:hanging="0"/>
      </w:pPr>
    </w:lvl>
    <w:lvl w:ilvl="4">
      <w:start w:val="1"/>
      <w:numFmt w:val="lowerLetter"/>
      <w:suff w:val="tab"/>
      <w:lvlText w:val="%5."/>
      <w:lvlJc w:val="left"/>
      <w:pPr>
        <w:ind w:left="3447" w:hanging="0"/>
      </w:pPr>
    </w:lvl>
    <w:lvl w:ilvl="5">
      <w:start w:val="1"/>
      <w:numFmt w:val="lowerRoman"/>
      <w:suff w:val="tab"/>
      <w:lvlText w:val="%6."/>
      <w:lvlJc w:val="left"/>
      <w:pPr>
        <w:ind w:left="4347" w:hanging="0"/>
      </w:pPr>
    </w:lvl>
    <w:lvl w:ilvl="6">
      <w:start w:val="1"/>
      <w:numFmt w:val="decimal"/>
      <w:suff w:val="tab"/>
      <w:lvlText w:val="%7."/>
      <w:lvlJc w:val="left"/>
      <w:pPr>
        <w:ind w:left="4887" w:hanging="0"/>
      </w:pPr>
    </w:lvl>
    <w:lvl w:ilvl="7">
      <w:start w:val="1"/>
      <w:numFmt w:val="lowerLetter"/>
      <w:suff w:val="tab"/>
      <w:lvlText w:val="%8."/>
      <w:lvlJc w:val="left"/>
      <w:pPr>
        <w:ind w:left="5607" w:hanging="0"/>
      </w:pPr>
    </w:lvl>
    <w:lvl w:ilvl="8">
      <w:start w:val="1"/>
      <w:numFmt w:val="lowerRoman"/>
      <w:suff w:val="tab"/>
      <w:lvlText w:val="%9."/>
      <w:lvlJc w:val="left"/>
      <w:pPr>
        <w:ind w:left="6507"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view w:val="print"/>
  <w:defaultTabStop w:val="709"/>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2049"/>
    <o:shapelayout v:ext="edit">
      <o:rules v:ext="edit"/>
    </o:shapelayout>
  </w:shapeDefaults>
  <w:tmPrefOne w:val="17"/>
  <w:tmPrefTwo w:val="1"/>
  <w:tmFmtPref w:val="189283563"/>
  <w:tmCommentsPr>
    <w:tmCommentsPlace w:val="0"/>
    <w:tmCommentsWidth w:val="3119"/>
    <w:tmCommentsColor w:val="-1"/>
  </w:tmCommentsPr>
  <w:tmReviewPr>
    <w:tmReviewEnabled w:val="0"/>
    <w:tmReviewShow w:val="1"/>
    <w:tmReviewPrint w:val="0"/>
    <w:tmRevisionNum w:val="8"/>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8"/>
    <w:tmLastPosCaret>
      <w:tmLastPosPgfIdx w:val="2"/>
      <w:tmLastPosIdx w:val="26"/>
    </w:tmLastPosCaret>
    <w:tmLastPosAnchor>
      <w:tmLastPosPgfIdx w:val="0"/>
      <w:tmLastPosIdx w:val="0"/>
    </w:tmLastPosAnchor>
    <w:tmLastPosTblRect w:left="0" w:top="0" w:right="0" w:bottom="0"/>
  </w:tmLastPos>
  <w:tmAppRevision w:date="1769500964"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sz w:val="20"/>
        <w:szCs w:val="20"/>
        <w:lang w:val="ru-ru"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color w:val="000000"/>
      <w:sz w:val="24"/>
      <w:szCs w:val="24"/>
    </w:rPr>
  </w:style>
  <w:style w:type="paragraph" w:styleId="para1">
    <w:name w:val="heading 1"/>
    <w:qFormat/>
    <w:basedOn w:val="para0"/>
    <w:next w:val="para0"/>
    <w:pPr>
      <w:spacing/>
      <w:jc w:val="center"/>
      <w:keepNext/>
      <w:outlineLvl w:val="0"/>
    </w:pPr>
    <w:rPr>
      <w:b/>
      <w:bCs/>
      <w:color w:val="auto"/>
      <w:sz w:val="28"/>
      <w:szCs w:val="20"/>
    </w:rPr>
  </w:style>
  <w:style w:type="paragraph" w:styleId="para2">
    <w:name w:val="Balloon Text"/>
    <w:qFormat/>
    <w:basedOn w:val="para0"/>
    <w:rPr>
      <w:rFonts w:ascii="Tahoma" w:hAnsi="Tahoma" w:cs="Tahoma"/>
      <w:sz w:val="16"/>
      <w:szCs w:val="16"/>
    </w:rPr>
  </w:style>
  <w:style w:type="paragraph" w:styleId="para3">
    <w:name w:val="Header"/>
    <w:qFormat/>
    <w:basedOn w:val="para0"/>
    <w:pPr>
      <w:tabs defTabSz="709">
        <w:tab w:val="center" w:pos="4677" w:leader="none"/>
        <w:tab w:val="right" w:pos="9355" w:leader="none"/>
      </w:tabs>
    </w:pPr>
  </w:style>
  <w:style w:type="paragraph" w:styleId="para4">
    <w:name w:val="Body Text"/>
    <w:qFormat/>
    <w:basedOn w:val="para0"/>
    <w:pPr>
      <w:spacing/>
      <w:jc w:val="both"/>
    </w:pPr>
    <w:rPr>
      <w:color w:val="auto"/>
      <w:sz w:val="28"/>
      <w:szCs w:val="20"/>
    </w:rPr>
  </w:style>
  <w:style w:type="paragraph" w:styleId="para5">
    <w:name w:val="Title"/>
    <w:qFormat/>
    <w:basedOn w:val="para0"/>
    <w:pPr>
      <w:spacing/>
      <w:jc w:val="center"/>
    </w:pPr>
    <w:rPr>
      <w:b/>
      <w:bCs/>
      <w:color w:val="auto"/>
      <w:sz w:val="28"/>
      <w:szCs w:val="20"/>
    </w:rPr>
  </w:style>
  <w:style w:type="paragraph" w:styleId="para6">
    <w:name w:val="Footer"/>
    <w:qFormat/>
    <w:basedOn w:val="para0"/>
    <w:pPr>
      <w:tabs defTabSz="709">
        <w:tab w:val="center" w:pos="4677" w:leader="none"/>
        <w:tab w:val="right" w:pos="9355" w:leader="none"/>
      </w:tabs>
    </w:pPr>
  </w:style>
  <w:style w:type="paragraph" w:styleId="para7">
    <w:name w:val="Normal (Web)"/>
    <w:qFormat/>
    <w:basedOn w:val="para0"/>
    <w:pPr>
      <w:spacing w:before="240" w:after="240"/>
    </w:pPr>
    <w:rPr>
      <w:color w:val="auto"/>
    </w:rPr>
  </w:style>
  <w:style w:type="paragraph" w:styleId="para8" w:customStyle="1">
    <w:name w:val="Знак"/>
    <w:qFormat/>
    <w:basedOn w:val="para0"/>
    <w:rPr>
      <w:rFonts w:ascii="Verdana" w:hAnsi="Verdana" w:cs="Verdana"/>
      <w:color w:val="auto"/>
      <w:sz w:val="20"/>
      <w:szCs w:val="20"/>
      <w:lang w:val="en-us"/>
    </w:rPr>
  </w:style>
  <w:style w:type="paragraph" w:styleId="para9">
    <w:name w:val="No Spacing"/>
    <w:qFormat/>
    <w:rPr>
      <w:rFonts w:ascii="Calibri" w:hAnsi="Calibri" w:eastAsia="Calibri"/>
      <w:color w:val="000000"/>
      <w:sz w:val="24"/>
      <w:szCs w:val="24"/>
      <w:lang w:val="ru-ru" w:eastAsia="zh-cn" w:bidi="ar-sa"/>
    </w:rPr>
  </w:style>
  <w:style w:type="paragraph" w:styleId="para10">
    <w:name w:val="List Paragraph"/>
    <w:qFormat/>
    <w:basedOn w:val="para0"/>
    <w:pPr>
      <w:ind w:left="708"/>
    </w:pPr>
  </w:style>
  <w:style w:type="paragraph" w:styleId="para11" w:customStyle="1">
    <w:name w:val="ConsNonformat"/>
    <w:qFormat/>
    <w:pPr>
      <w:widowControl w:val="0"/>
    </w:pPr>
    <w:rPr>
      <w:rFonts w:ascii="Courier New" w:hAnsi="Courier New" w:eastAsia="Calibri" w:cs="Courier New"/>
      <w:lang w:val="ru-ru" w:eastAsia="zh-cn" w:bidi="ar-sa"/>
    </w:rPr>
  </w:style>
  <w:style w:type="paragraph" w:styleId="para12" w:customStyle="1">
    <w:name w:val="western"/>
    <w:qFormat/>
    <w:basedOn w:val="para0"/>
    <w:pPr>
      <w:spacing w:before="100" w:after="100" w:beforeAutospacing="1" w:afterAutospacing="1"/>
    </w:pPr>
    <w:rPr>
      <w:color w:val="auto"/>
    </w:rPr>
  </w:style>
  <w:style w:type="paragraph" w:styleId="para13" w:customStyle="1">
    <w:name w:val="ConsPlusNormal"/>
    <w:qFormat/>
    <w:rPr>
      <w:rFonts w:ascii="Calibri" w:hAnsi="Calibri" w:eastAsia="Calibri"/>
      <w:sz w:val="24"/>
      <w:szCs w:val="24"/>
      <w:lang w:val="ru-ru" w:eastAsia="zh-cn" w:bidi="ar-sa"/>
    </w:rPr>
  </w:style>
  <w:style w:type="paragraph" w:styleId="para14" w:customStyle="1">
    <w:name w:val="Default"/>
    <w:qFormat/>
    <w:rPr>
      <w:rFonts w:ascii="Calibri" w:hAnsi="Calibri" w:eastAsia="Calibri" w:cs="Calibri"/>
      <w:color w:val="000000"/>
      <w:sz w:val="24"/>
      <w:szCs w:val="24"/>
      <w:lang w:val="ru-ru" w:eastAsia="zh-cn" w:bidi="ar-sa"/>
    </w:rPr>
  </w:style>
  <w:style w:type="character" w:styleId="char0" w:default="1">
    <w:name w:val="Default Paragraph Font"/>
  </w:style>
  <w:style w:type="character" w:styleId="char1">
    <w:name w:val="Hyperlink"/>
    <w:rPr>
      <w:color w:val="0000ff"/>
      <w:u w:color="auto" w:val="single"/>
    </w:rPr>
  </w:style>
  <w:style w:type="character" w:styleId="char2">
    <w:name w:val="Strong"/>
    <w:basedOn w:val="char0"/>
    <w:rPr>
      <w:b/>
      <w:bCs/>
    </w:rPr>
  </w:style>
  <w:style w:type="character" w:styleId="char3" w:customStyle="1">
    <w:name w:val="Заголовок 1 Знак"/>
    <w:rPr>
      <w:rFonts w:ascii="Times New Roman" w:hAnsi="Times New Roman" w:eastAsia="Times New Roman" w:cs="Times New Roman"/>
      <w:b/>
      <w:bCs/>
      <w:sz w:val="28"/>
      <w:szCs w:val="20"/>
    </w:rPr>
  </w:style>
  <w:style w:type="character" w:styleId="char4" w:customStyle="1">
    <w:name w:val="Верхний колонтитул Знак"/>
    <w:rPr>
      <w:rFonts w:ascii="Times New Roman" w:hAnsi="Times New Roman" w:eastAsia="Times New Roman" w:cs="Times New Roman"/>
      <w:color w:val="000000"/>
      <w:sz w:val="24"/>
      <w:szCs w:val="24"/>
    </w:rPr>
  </w:style>
  <w:style w:type="character" w:styleId="char5" w:customStyle="1">
    <w:name w:val="Нижний колонтитул Знак"/>
    <w:rPr>
      <w:rFonts w:ascii="Times New Roman" w:hAnsi="Times New Roman" w:eastAsia="Times New Roman" w:cs="Times New Roman"/>
      <w:color w:val="000000"/>
      <w:sz w:val="24"/>
      <w:szCs w:val="24"/>
    </w:rPr>
  </w:style>
  <w:style w:type="character" w:styleId="char6" w:customStyle="1">
    <w:name w:val="Заголовок Знак"/>
    <w:rPr>
      <w:rFonts w:ascii="Times New Roman" w:hAnsi="Times New Roman" w:eastAsia="Times New Roman"/>
      <w:b/>
      <w:bCs/>
      <w:sz w:val="28"/>
    </w:rPr>
  </w:style>
  <w:style w:type="character" w:styleId="char7" w:customStyle="1">
    <w:name w:val="Основной текст Знак"/>
    <w:rPr>
      <w:rFonts w:ascii="Times New Roman" w:hAnsi="Times New Roman" w:eastAsia="Times New Roman"/>
      <w:sz w:val="28"/>
    </w:rPr>
  </w:style>
  <w:style w:type="character" w:styleId="char8" w:customStyle="1">
    <w:name w:val="Текст выноски Знак"/>
    <w:basedOn w:val="char0"/>
    <w:rPr>
      <w:rFonts w:ascii="Tahoma" w:hAnsi="Tahoma" w:eastAsia="Times New Roman" w:cs="Tahoma"/>
      <w:color w:val="000000"/>
      <w:sz w:val="16"/>
      <w:szCs w:val="16"/>
    </w:rPr>
  </w:style>
  <w:style w:type="character" w:styleId="char9" w:customStyle="1">
    <w:name w:val="Название объекта1"/>
    <w:basedOn w:val="char0"/>
  </w:style>
  <w:style w:type="character" w:styleId="char10" w:customStyle="1">
    <w:name w:val="field"/>
    <w:basedOn w:val="char0"/>
  </w:style>
  <w:style w:type="character" w:styleId="char11" w:customStyle="1">
    <w:name w:val="ib1"/>
    <w:basedOn w:val="char0"/>
    <w:rPr>
      <w:b/>
      <w:bCs/>
      <w:i/>
      <w:iCs/>
    </w:rPr>
  </w:style>
  <w:style w:type="character" w:styleId="char12" w:customStyle="1">
    <w:name w:val="Основной текст1"/>
    <w:rPr>
      <w:rFonts w:ascii="Times New Roman" w:hAnsi="Times New Roman" w:eastAsia="Times New Roman" w:cs="Times New Roman"/>
      <w:color w:val="000000"/>
      <w:spacing w:val="0"/>
      <w:w w:val="100"/>
      <w:sz w:val="22"/>
      <w:szCs w:val="22"/>
      <w:u w:color="auto" w:val="none"/>
      <w:vertAlign w:val="baseline"/>
      <w:lang w:val="ru-ru"/>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1">
    <w:name w:val="Обычная таблица1"/>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sz w:val="20"/>
        <w:szCs w:val="20"/>
        <w:lang w:val="ru-ru"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color w:val="000000"/>
      <w:sz w:val="24"/>
      <w:szCs w:val="24"/>
    </w:rPr>
  </w:style>
  <w:style w:type="paragraph" w:styleId="para1">
    <w:name w:val="heading 1"/>
    <w:qFormat/>
    <w:basedOn w:val="para0"/>
    <w:next w:val="para0"/>
    <w:pPr>
      <w:spacing/>
      <w:jc w:val="center"/>
      <w:keepNext/>
      <w:outlineLvl w:val="0"/>
    </w:pPr>
    <w:rPr>
      <w:b/>
      <w:bCs/>
      <w:color w:val="auto"/>
      <w:sz w:val="28"/>
      <w:szCs w:val="20"/>
    </w:rPr>
  </w:style>
  <w:style w:type="paragraph" w:styleId="para2">
    <w:name w:val="Balloon Text"/>
    <w:qFormat/>
    <w:basedOn w:val="para0"/>
    <w:rPr>
      <w:rFonts w:ascii="Tahoma" w:hAnsi="Tahoma" w:cs="Tahoma"/>
      <w:sz w:val="16"/>
      <w:szCs w:val="16"/>
    </w:rPr>
  </w:style>
  <w:style w:type="paragraph" w:styleId="para3">
    <w:name w:val="Header"/>
    <w:qFormat/>
    <w:basedOn w:val="para0"/>
    <w:pPr>
      <w:tabs defTabSz="709">
        <w:tab w:val="center" w:pos="4677" w:leader="none"/>
        <w:tab w:val="right" w:pos="9355" w:leader="none"/>
      </w:tabs>
    </w:pPr>
  </w:style>
  <w:style w:type="paragraph" w:styleId="para4">
    <w:name w:val="Body Text"/>
    <w:qFormat/>
    <w:basedOn w:val="para0"/>
    <w:pPr>
      <w:spacing/>
      <w:jc w:val="both"/>
    </w:pPr>
    <w:rPr>
      <w:color w:val="auto"/>
      <w:sz w:val="28"/>
      <w:szCs w:val="20"/>
    </w:rPr>
  </w:style>
  <w:style w:type="paragraph" w:styleId="para5">
    <w:name w:val="Title"/>
    <w:qFormat/>
    <w:basedOn w:val="para0"/>
    <w:pPr>
      <w:spacing/>
      <w:jc w:val="center"/>
    </w:pPr>
    <w:rPr>
      <w:b/>
      <w:bCs/>
      <w:color w:val="auto"/>
      <w:sz w:val="28"/>
      <w:szCs w:val="20"/>
    </w:rPr>
  </w:style>
  <w:style w:type="paragraph" w:styleId="para6">
    <w:name w:val="Footer"/>
    <w:qFormat/>
    <w:basedOn w:val="para0"/>
    <w:pPr>
      <w:tabs defTabSz="709">
        <w:tab w:val="center" w:pos="4677" w:leader="none"/>
        <w:tab w:val="right" w:pos="9355" w:leader="none"/>
      </w:tabs>
    </w:pPr>
  </w:style>
  <w:style w:type="paragraph" w:styleId="para7">
    <w:name w:val="Normal (Web)"/>
    <w:qFormat/>
    <w:basedOn w:val="para0"/>
    <w:pPr>
      <w:spacing w:before="240" w:after="240"/>
    </w:pPr>
    <w:rPr>
      <w:color w:val="auto"/>
    </w:rPr>
  </w:style>
  <w:style w:type="paragraph" w:styleId="para8" w:customStyle="1">
    <w:name w:val="Знак"/>
    <w:qFormat/>
    <w:basedOn w:val="para0"/>
    <w:rPr>
      <w:rFonts w:ascii="Verdana" w:hAnsi="Verdana" w:cs="Verdana"/>
      <w:color w:val="auto"/>
      <w:sz w:val="20"/>
      <w:szCs w:val="20"/>
      <w:lang w:val="en-us"/>
    </w:rPr>
  </w:style>
  <w:style w:type="paragraph" w:styleId="para9">
    <w:name w:val="No Spacing"/>
    <w:qFormat/>
    <w:rPr>
      <w:rFonts w:ascii="Calibri" w:hAnsi="Calibri" w:eastAsia="Calibri"/>
      <w:color w:val="000000"/>
      <w:sz w:val="24"/>
      <w:szCs w:val="24"/>
      <w:lang w:val="ru-ru" w:eastAsia="zh-cn" w:bidi="ar-sa"/>
    </w:rPr>
  </w:style>
  <w:style w:type="paragraph" w:styleId="para10">
    <w:name w:val="List Paragraph"/>
    <w:qFormat/>
    <w:basedOn w:val="para0"/>
    <w:pPr>
      <w:ind w:left="708"/>
    </w:pPr>
  </w:style>
  <w:style w:type="paragraph" w:styleId="para11" w:customStyle="1">
    <w:name w:val="ConsNonformat"/>
    <w:qFormat/>
    <w:pPr>
      <w:widowControl w:val="0"/>
    </w:pPr>
    <w:rPr>
      <w:rFonts w:ascii="Courier New" w:hAnsi="Courier New" w:eastAsia="Calibri" w:cs="Courier New"/>
      <w:lang w:val="ru-ru" w:eastAsia="zh-cn" w:bidi="ar-sa"/>
    </w:rPr>
  </w:style>
  <w:style w:type="paragraph" w:styleId="para12" w:customStyle="1">
    <w:name w:val="western"/>
    <w:qFormat/>
    <w:basedOn w:val="para0"/>
    <w:pPr>
      <w:spacing w:before="100" w:after="100" w:beforeAutospacing="1" w:afterAutospacing="1"/>
    </w:pPr>
    <w:rPr>
      <w:color w:val="auto"/>
    </w:rPr>
  </w:style>
  <w:style w:type="paragraph" w:styleId="para13" w:customStyle="1">
    <w:name w:val="ConsPlusNormal"/>
    <w:qFormat/>
    <w:rPr>
      <w:rFonts w:ascii="Calibri" w:hAnsi="Calibri" w:eastAsia="Calibri"/>
      <w:sz w:val="24"/>
      <w:szCs w:val="24"/>
      <w:lang w:val="ru-ru" w:eastAsia="zh-cn" w:bidi="ar-sa"/>
    </w:rPr>
  </w:style>
  <w:style w:type="paragraph" w:styleId="para14" w:customStyle="1">
    <w:name w:val="Default"/>
    <w:qFormat/>
    <w:rPr>
      <w:rFonts w:ascii="Calibri" w:hAnsi="Calibri" w:eastAsia="Calibri" w:cs="Calibri"/>
      <w:color w:val="000000"/>
      <w:sz w:val="24"/>
      <w:szCs w:val="24"/>
      <w:lang w:val="ru-ru" w:eastAsia="zh-cn" w:bidi="ar-sa"/>
    </w:rPr>
  </w:style>
  <w:style w:type="character" w:styleId="char0" w:default="1">
    <w:name w:val="Default Paragraph Font"/>
  </w:style>
  <w:style w:type="character" w:styleId="char1">
    <w:name w:val="Hyperlink"/>
    <w:rPr>
      <w:color w:val="0000ff"/>
      <w:u w:color="auto" w:val="single"/>
    </w:rPr>
  </w:style>
  <w:style w:type="character" w:styleId="char2">
    <w:name w:val="Strong"/>
    <w:basedOn w:val="char0"/>
    <w:rPr>
      <w:b/>
      <w:bCs/>
    </w:rPr>
  </w:style>
  <w:style w:type="character" w:styleId="char3" w:customStyle="1">
    <w:name w:val="Заголовок 1 Знак"/>
    <w:rPr>
      <w:rFonts w:ascii="Times New Roman" w:hAnsi="Times New Roman" w:eastAsia="Times New Roman" w:cs="Times New Roman"/>
      <w:b/>
      <w:bCs/>
      <w:sz w:val="28"/>
      <w:szCs w:val="20"/>
    </w:rPr>
  </w:style>
  <w:style w:type="character" w:styleId="char4" w:customStyle="1">
    <w:name w:val="Верхний колонтитул Знак"/>
    <w:rPr>
      <w:rFonts w:ascii="Times New Roman" w:hAnsi="Times New Roman" w:eastAsia="Times New Roman" w:cs="Times New Roman"/>
      <w:color w:val="000000"/>
      <w:sz w:val="24"/>
      <w:szCs w:val="24"/>
    </w:rPr>
  </w:style>
  <w:style w:type="character" w:styleId="char5" w:customStyle="1">
    <w:name w:val="Нижний колонтитул Знак"/>
    <w:rPr>
      <w:rFonts w:ascii="Times New Roman" w:hAnsi="Times New Roman" w:eastAsia="Times New Roman" w:cs="Times New Roman"/>
      <w:color w:val="000000"/>
      <w:sz w:val="24"/>
      <w:szCs w:val="24"/>
    </w:rPr>
  </w:style>
  <w:style w:type="character" w:styleId="char6" w:customStyle="1">
    <w:name w:val="Заголовок Знак"/>
    <w:rPr>
      <w:rFonts w:ascii="Times New Roman" w:hAnsi="Times New Roman" w:eastAsia="Times New Roman"/>
      <w:b/>
      <w:bCs/>
      <w:sz w:val="28"/>
    </w:rPr>
  </w:style>
  <w:style w:type="character" w:styleId="char7" w:customStyle="1">
    <w:name w:val="Основной текст Знак"/>
    <w:rPr>
      <w:rFonts w:ascii="Times New Roman" w:hAnsi="Times New Roman" w:eastAsia="Times New Roman"/>
      <w:sz w:val="28"/>
    </w:rPr>
  </w:style>
  <w:style w:type="character" w:styleId="char8" w:customStyle="1">
    <w:name w:val="Текст выноски Знак"/>
    <w:basedOn w:val="char0"/>
    <w:rPr>
      <w:rFonts w:ascii="Tahoma" w:hAnsi="Tahoma" w:eastAsia="Times New Roman" w:cs="Tahoma"/>
      <w:color w:val="000000"/>
      <w:sz w:val="16"/>
      <w:szCs w:val="16"/>
    </w:rPr>
  </w:style>
  <w:style w:type="character" w:styleId="char9" w:customStyle="1">
    <w:name w:val="Название объекта1"/>
    <w:basedOn w:val="char0"/>
  </w:style>
  <w:style w:type="character" w:styleId="char10" w:customStyle="1">
    <w:name w:val="field"/>
    <w:basedOn w:val="char0"/>
  </w:style>
  <w:style w:type="character" w:styleId="char11" w:customStyle="1">
    <w:name w:val="ib1"/>
    <w:basedOn w:val="char0"/>
    <w:rPr>
      <w:b/>
      <w:bCs/>
      <w:i/>
      <w:iCs/>
    </w:rPr>
  </w:style>
  <w:style w:type="character" w:styleId="char12" w:customStyle="1">
    <w:name w:val="Основной текст1"/>
    <w:rPr>
      <w:rFonts w:ascii="Times New Roman" w:hAnsi="Times New Roman" w:eastAsia="Times New Roman" w:cs="Times New Roman"/>
      <w:color w:val="000000"/>
      <w:spacing w:val="0"/>
      <w:w w:val="100"/>
      <w:sz w:val="22"/>
      <w:szCs w:val="22"/>
      <w:u w:color="auto" w:val="none"/>
      <w:vertAlign w:val="baseline"/>
      <w:lang w:val="ru-ru"/>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1">
    <w:name w:val="Обычная таблица1"/>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Алина</cp:lastModifiedBy>
  <cp:revision>8</cp:revision>
  <cp:lastPrinted>2025-10-17T03:49:54Z</cp:lastPrinted>
  <dcterms:created xsi:type="dcterms:W3CDTF">2024-07-31T12:05:00Z</dcterms:created>
  <dcterms:modified xsi:type="dcterms:W3CDTF">2026-01-27T08:02:44Z</dcterms:modified>
</cp:coreProperties>
</file>