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33FCDDFE" w:rsidR="004E3C4A" w:rsidRPr="006D1AF2" w:rsidRDefault="009712E1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9712E1">
        <w:rPr>
          <w:rFonts w:ascii="Times New Roman" w:hAnsi="Times New Roman"/>
          <w:b/>
          <w:bCs/>
          <w:sz w:val="19"/>
          <w:szCs w:val="19"/>
        </w:rPr>
        <w:t>Жеглов Дмитрий Игоревич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решения </w:t>
      </w:r>
      <w:r w:rsidRPr="009712E1">
        <w:rPr>
          <w:rFonts w:ascii="Times New Roman" w:hAnsi="Times New Roman"/>
          <w:sz w:val="19"/>
          <w:szCs w:val="19"/>
        </w:rPr>
        <w:t>Арбитражного суда города Санкт-Петербурга и Ленинградской области от 14.08.2024 по делу № А56-23179/2024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C32A3"/>
    <w:rsid w:val="00CC62BF"/>
    <w:rsid w:val="00CC7DC0"/>
    <w:rsid w:val="00CE35FD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9</cp:revision>
  <cp:lastPrinted>2023-08-31T06:22:00Z</cp:lastPrinted>
  <dcterms:created xsi:type="dcterms:W3CDTF">2023-08-31T06:23:00Z</dcterms:created>
  <dcterms:modified xsi:type="dcterms:W3CDTF">2025-03-11T13:16:00Z</dcterms:modified>
</cp:coreProperties>
</file>